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pStyle w:val="2"/>
        <w:spacing w:line="500" w:lineRule="exact"/>
        <w:rPr>
          <w:rFonts w:ascii="Times New Roman"/>
          <w:szCs w:val="32"/>
        </w:rPr>
      </w:pPr>
    </w:p>
    <w:p>
      <w:pPr>
        <w:widowControl w:val="0"/>
        <w:adjustRightInd/>
        <w:snapToGrid/>
        <w:spacing w:after="0" w:line="580" w:lineRule="exact"/>
        <w:jc w:val="center"/>
        <w:rPr>
          <w:rFonts w:ascii="方正小标宋简体" w:hAnsi="华文中宋" w:eastAsia="方正小标宋简体" w:cs="Times New Roman"/>
          <w:bCs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kern w:val="2"/>
          <w:sz w:val="44"/>
          <w:szCs w:val="44"/>
        </w:rPr>
        <w:t>口蹄疫强制免疫方案</w:t>
      </w:r>
      <w:bookmarkStart w:id="0" w:name="_GoBack"/>
      <w:bookmarkEnd w:id="0"/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一、要求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对全市所有牛、羊、骆驼、鹿进行O型和A型口蹄疫强制免疫；对全市所有猪进行O型口蹄疫强制免疫，养殖场户可根据实际情况自行采购合法疫苗开展A型口蹄疫免疫，但不纳入先打后补经费申报范畴。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二、免疫程序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楷体_GB2312" w:hAnsi="宋体" w:eastAsia="楷体_GB2312" w:cs="Times New Roman"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</w:rPr>
        <w:t>（一）规模养殖家畜和种畜的免疫。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仔猪、羔羊：28—35日龄时进行一免。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犊牛：90日龄左右进行一免。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所有新生家畜初免后，间隔1个月后进行1次加强免疫，以后每隔4个月免疫1次。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楷体_GB2312" w:hAnsi="宋体" w:eastAsia="楷体_GB2312" w:cs="Times New Roman"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</w:rPr>
        <w:t>（二）散养家畜的免疫。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春秋两季分别对所有易感家畜进行集中免疫，每月对新补栏家畜进行补免。每次免疫后要适时进行1次加强免疫。有条件地方可参照规模养殖家畜和种畜的免疫程序进行免疫。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三、紧急免疫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发生疫情时，对疫区、受威胁区域的全部易感家畜进行1次强化免疫。最近1个月内已免疫的家畜可以不进行加强免疫。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四、使用疫苗种类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牛、羊、骆驼和鹿：根据家畜类别及所在区域选择使用口蹄疫疫苗。使用口蹄疫O型灭活疫苗、口蹄疫A型灭活疫苗、口蹄疫型O型-A型二价灭活疫苗。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猪：口蹄疫O型灭活疫苗、口蹄疫O型合成肽疫苗（双抗原或三抗原）。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五、免疫方法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各种疫苗免疫接种方法及剂量按相关产品说明书规定操作。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六、免疫效果监测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猪免疫28天、其他家畜免疫21天后，进行免疫效果监测。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楷体_GB2312" w:hAnsi="宋体" w:eastAsia="楷体_GB2312" w:cs="Times New Roman"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</w:rPr>
        <w:t>（一）检测方法。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1.O型口蹄疫：灭活类疫苗采用液相阻断ELISA，合成肽疫苗采用VP1结构蛋白ELISA。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2.A型口蹄疫：液相阻断ELISA。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楷体_GB2312" w:hAnsi="宋体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</w:rPr>
        <w:t>（二）免疫效果判定。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液相阻断ELISA：牛、羊抗体效价≥2</w:t>
      </w:r>
      <w:r>
        <w:rPr>
          <w:rFonts w:ascii="仿宋_GB2312" w:hAnsi="宋体" w:eastAsia="仿宋_GB2312" w:cs="Times New Roman"/>
          <w:kern w:val="2"/>
          <w:sz w:val="32"/>
          <w:szCs w:val="32"/>
          <w:vertAlign w:val="superscript"/>
        </w:rPr>
        <w:t>7</w:t>
      </w:r>
      <w:r>
        <w:rPr>
          <w:rFonts w:ascii="仿宋_GB2312" w:hAnsi="宋体" w:eastAsia="仿宋_GB2312" w:cs="Times New Roman"/>
          <w:kern w:val="2"/>
          <w:sz w:val="32"/>
          <w:szCs w:val="32"/>
        </w:rPr>
        <w:t>，猪抗体效价≥2</w:t>
      </w:r>
      <w:r>
        <w:rPr>
          <w:rFonts w:ascii="仿宋_GB2312" w:hAnsi="宋体" w:eastAsia="仿宋_GB2312" w:cs="Times New Roman"/>
          <w:kern w:val="2"/>
          <w:sz w:val="32"/>
          <w:szCs w:val="32"/>
          <w:vertAlign w:val="superscript"/>
        </w:rPr>
        <w:t>6</w:t>
      </w:r>
      <w:r>
        <w:rPr>
          <w:rFonts w:ascii="仿宋_GB2312" w:hAnsi="宋体" w:eastAsia="仿宋_GB2312" w:cs="Times New Roman"/>
          <w:kern w:val="2"/>
          <w:sz w:val="32"/>
          <w:szCs w:val="32"/>
        </w:rPr>
        <w:t>，判定为合格；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正向间接血凝试验：抗体效价≥2</w:t>
      </w:r>
      <w:r>
        <w:rPr>
          <w:rFonts w:ascii="仿宋_GB2312" w:hAnsi="宋体" w:eastAsia="仿宋_GB2312" w:cs="Times New Roman"/>
          <w:kern w:val="2"/>
          <w:sz w:val="32"/>
          <w:szCs w:val="32"/>
          <w:vertAlign w:val="superscript"/>
        </w:rPr>
        <w:t>6</w:t>
      </w:r>
      <w:r>
        <w:rPr>
          <w:rFonts w:ascii="仿宋_GB2312" w:hAnsi="宋体" w:eastAsia="仿宋_GB2312" w:cs="Times New Roman"/>
          <w:kern w:val="2"/>
          <w:sz w:val="32"/>
          <w:szCs w:val="32"/>
        </w:rPr>
        <w:t>，判定为合格；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VP1 结构蛋白ELISA：抗体效价≥2</w:t>
      </w:r>
      <w:r>
        <w:rPr>
          <w:rFonts w:ascii="仿宋_GB2312" w:hAnsi="宋体" w:eastAsia="仿宋_GB2312" w:cs="Times New Roman"/>
          <w:kern w:val="2"/>
          <w:sz w:val="32"/>
          <w:szCs w:val="32"/>
          <w:vertAlign w:val="superscript"/>
        </w:rPr>
        <w:t>5</w:t>
      </w:r>
      <w:r>
        <w:rPr>
          <w:rFonts w:ascii="仿宋_GB2312" w:hAnsi="宋体" w:eastAsia="仿宋_GB2312" w:cs="Times New Roman"/>
          <w:kern w:val="2"/>
          <w:sz w:val="32"/>
          <w:szCs w:val="32"/>
        </w:rPr>
        <w:t>，判定为合格。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存栏家畜免疫抗体合格率≥70%判定为合格。</w:t>
      </w:r>
    </w:p>
    <w:p>
      <w:pPr>
        <w:pStyle w:val="2"/>
        <w:spacing w:line="500" w:lineRule="exact"/>
        <w:rPr>
          <w:rFonts w:ascii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71FF0448"/>
    <w:rsid w:val="71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djustRightInd/>
      <w:snapToGrid/>
      <w:spacing w:after="0" w:line="560" w:lineRule="exact"/>
      <w:jc w:val="both"/>
    </w:pPr>
    <w:rPr>
      <w:rFonts w:ascii="仿宋_GB2312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2023-03-27T01:50:00Z</dcterms:created>
  <dc:creator>VC瑶</dc:creator>
  <cp:lastModifiedBy>VC瑶</cp:lastModifiedBy>
  <dcterms:modified xsi:type="dcterms:W3CDTF">2023-03-27T01:51:21Z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5375D5A62A8345BBB111D4BFB207F557</vt:lpwstr>
  </property>
</Properties>
</file>