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adjustRightInd/>
        <w:snapToGrid/>
        <w:spacing w:line="580" w:lineRule="exact"/>
        <w:jc w:val="center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sz w:val="44"/>
          <w:szCs w:val="44"/>
        </w:rPr>
        <w:t>口蹄疫强制免疫方案</w:t>
      </w:r>
    </w:p>
    <w:p>
      <w:pPr>
        <w:widowControl w:val="0"/>
        <w:adjustRightInd/>
        <w:snapToGrid/>
        <w:spacing w:after="0" w:line="540" w:lineRule="exact"/>
        <w:ind w:firstLine="640" w:firstLineChars="200"/>
        <w:jc w:val="both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一、要求</w:t>
      </w:r>
    </w:p>
    <w:p>
      <w:pPr>
        <w:widowControl w:val="0"/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对全市所有牛、羊、骆驼、鹿进行O型和A型口蹄疫强制免疫；对全市所有猪进行O型口蹄疫强制免疫，养殖场户可根据实际情况自行采购合法疫苗开展A型口蹄疫免疫，但不纳入先打后补经费申报范畴。</w:t>
      </w:r>
    </w:p>
    <w:p>
      <w:pPr>
        <w:widowControl w:val="0"/>
        <w:adjustRightInd/>
        <w:snapToGrid/>
        <w:spacing w:after="0" w:line="540" w:lineRule="exact"/>
        <w:ind w:firstLine="640" w:firstLineChars="200"/>
        <w:jc w:val="both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二、免疫程序</w:t>
      </w:r>
    </w:p>
    <w:p>
      <w:pPr>
        <w:widowControl w:val="0"/>
        <w:spacing w:after="0" w:line="540" w:lineRule="exact"/>
        <w:ind w:firstLine="640" w:firstLineChars="200"/>
        <w:rPr>
          <w:rFonts w:ascii="楷体_GB2312" w:hAnsi="宋体" w:eastAsia="楷体_GB2312" w:cs="Times New Roman"/>
          <w:bCs/>
          <w:kern w:val="2"/>
          <w:sz w:val="32"/>
          <w:szCs w:val="32"/>
        </w:rPr>
      </w:pPr>
      <w:r>
        <w:rPr>
          <w:rFonts w:hint="eastAsia" w:ascii="楷体_GB2312" w:hAnsi="宋体" w:eastAsia="楷体_GB2312" w:cs="Times New Roman"/>
          <w:bCs/>
          <w:kern w:val="2"/>
          <w:sz w:val="32"/>
          <w:szCs w:val="32"/>
        </w:rPr>
        <w:t>（一）规模养殖家畜和种畜的免疫。</w:t>
      </w:r>
    </w:p>
    <w:p>
      <w:pPr>
        <w:widowControl w:val="0"/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仔猪、羔羊：28—35日龄时进行一免。</w:t>
      </w:r>
    </w:p>
    <w:p>
      <w:pPr>
        <w:widowControl w:val="0"/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犊牛：90日龄左右进行一免。</w:t>
      </w:r>
    </w:p>
    <w:p>
      <w:pPr>
        <w:widowControl w:val="0"/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所有新生家畜初免后，间隔1个月后进行1次加强免疫，以后每隔4个月免疫1次。</w:t>
      </w:r>
    </w:p>
    <w:p>
      <w:pPr>
        <w:widowControl w:val="0"/>
        <w:spacing w:after="0" w:line="540" w:lineRule="exact"/>
        <w:ind w:firstLine="640" w:firstLineChars="200"/>
        <w:rPr>
          <w:rFonts w:ascii="楷体_GB2312" w:hAnsi="宋体" w:eastAsia="楷体_GB2312" w:cs="Times New Roman"/>
          <w:bCs/>
          <w:kern w:val="2"/>
          <w:sz w:val="32"/>
          <w:szCs w:val="32"/>
        </w:rPr>
      </w:pPr>
      <w:r>
        <w:rPr>
          <w:rFonts w:hint="eastAsia" w:ascii="楷体_GB2312" w:hAnsi="宋体" w:eastAsia="楷体_GB2312" w:cs="Times New Roman"/>
          <w:bCs/>
          <w:kern w:val="2"/>
          <w:sz w:val="32"/>
          <w:szCs w:val="32"/>
        </w:rPr>
        <w:t>（二）散养家畜的免疫。</w:t>
      </w:r>
    </w:p>
    <w:p>
      <w:pPr>
        <w:widowControl w:val="0"/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春</w:t>
      </w:r>
      <w:r>
        <w:rPr>
          <w:rFonts w:ascii="仿宋_GB2312" w:hAnsi="宋体" w:eastAsia="仿宋_GB2312" w:cs="Times New Roman"/>
          <w:sz w:val="32"/>
          <w:szCs w:val="32"/>
        </w:rPr>
        <w:t>秋两季分别对所有易感家畜进行集中免疫，每月对新补栏家畜进行补免。每次免疫后要适时进行1次加强免疫。有条件地方可参照规模养殖家畜和种畜的免疫程序进行免疫。</w:t>
      </w:r>
    </w:p>
    <w:p>
      <w:pPr>
        <w:widowControl w:val="0"/>
        <w:adjustRightInd/>
        <w:snapToGrid/>
        <w:spacing w:after="0" w:line="540" w:lineRule="exact"/>
        <w:ind w:firstLine="640" w:firstLineChars="200"/>
        <w:jc w:val="both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三、紧急免疫</w:t>
      </w:r>
    </w:p>
    <w:p>
      <w:pPr>
        <w:widowControl w:val="0"/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发生疫情时，对疫区、受威胁区域的全部易感家畜进行1次强化免疫。最近1个月内已免疫的家畜可以不进行加强免疫。</w:t>
      </w:r>
    </w:p>
    <w:p>
      <w:pPr>
        <w:widowControl w:val="0"/>
        <w:adjustRightInd/>
        <w:snapToGrid/>
        <w:spacing w:after="0" w:line="540" w:lineRule="exact"/>
        <w:ind w:firstLine="640" w:firstLineChars="200"/>
        <w:jc w:val="both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四、使用疫苗种类</w:t>
      </w:r>
    </w:p>
    <w:p>
      <w:pPr>
        <w:widowControl w:val="0"/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牛、羊、骆驼和鹿：根据家畜类别及所在区域选择使用口蹄疫疫苗。使用口蹄疫O型灭活疫苗、口蹄疫A型灭活疫苗、口蹄疫型O型-A型二价灭活疫苗。</w:t>
      </w:r>
    </w:p>
    <w:p>
      <w:pPr>
        <w:widowControl w:val="0"/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猪：口蹄疫O型灭活疫苗、口蹄疫O型合成肽疫苗（双抗原或三抗原）。</w:t>
      </w:r>
    </w:p>
    <w:p>
      <w:pPr>
        <w:widowControl w:val="0"/>
        <w:adjustRightInd/>
        <w:snapToGrid/>
        <w:spacing w:after="0" w:line="540" w:lineRule="exact"/>
        <w:ind w:firstLine="640" w:firstLineChars="200"/>
        <w:jc w:val="both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五、免疫方法</w:t>
      </w:r>
    </w:p>
    <w:p>
      <w:pPr>
        <w:widowControl w:val="0"/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各种疫苗免疫接种方法及剂量按相关产品说明书规定操作。</w:t>
      </w:r>
    </w:p>
    <w:p>
      <w:pPr>
        <w:widowControl w:val="0"/>
        <w:adjustRightInd/>
        <w:snapToGrid/>
        <w:spacing w:after="0" w:line="540" w:lineRule="exact"/>
        <w:ind w:firstLine="640" w:firstLineChars="200"/>
        <w:jc w:val="both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六、免疫效果监测</w:t>
      </w:r>
    </w:p>
    <w:p>
      <w:pPr>
        <w:widowControl w:val="0"/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猪免疫28天、其他家畜免疫21天后，进行免疫效果监测。</w:t>
      </w:r>
    </w:p>
    <w:p>
      <w:pPr>
        <w:widowControl w:val="0"/>
        <w:spacing w:after="0" w:line="540" w:lineRule="exact"/>
        <w:ind w:firstLine="640" w:firstLineChars="200"/>
        <w:rPr>
          <w:rFonts w:ascii="楷体_GB2312" w:hAnsi="宋体" w:eastAsia="楷体_GB2312" w:cs="Times New Roman"/>
          <w:bCs/>
          <w:kern w:val="2"/>
          <w:sz w:val="32"/>
          <w:szCs w:val="32"/>
        </w:rPr>
      </w:pPr>
      <w:r>
        <w:rPr>
          <w:rFonts w:hint="eastAsia" w:ascii="楷体_GB2312" w:hAnsi="宋体" w:eastAsia="楷体_GB2312" w:cs="Times New Roman"/>
          <w:bCs/>
          <w:kern w:val="2"/>
          <w:sz w:val="32"/>
          <w:szCs w:val="32"/>
        </w:rPr>
        <w:t>（一）检测方法。</w:t>
      </w:r>
    </w:p>
    <w:p>
      <w:pPr>
        <w:widowControl w:val="0"/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1.O型口蹄疫：灭活类疫苗采用液相阻断ELISA，合成肽疫苗采用VP1结构蛋白ELISA。</w:t>
      </w:r>
    </w:p>
    <w:p>
      <w:pPr>
        <w:widowControl w:val="0"/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2.A型口蹄疫：液相阻断ELISA。</w:t>
      </w:r>
    </w:p>
    <w:p>
      <w:pPr>
        <w:widowControl w:val="0"/>
        <w:spacing w:after="0" w:line="540" w:lineRule="exact"/>
        <w:ind w:firstLine="640" w:firstLineChars="200"/>
        <w:rPr>
          <w:rFonts w:ascii="楷体_GB2312" w:hAnsi="宋体" w:eastAsia="楷体_GB2312" w:cs="Times New Roman"/>
          <w:bCs/>
          <w:kern w:val="2"/>
          <w:sz w:val="32"/>
          <w:szCs w:val="32"/>
        </w:rPr>
      </w:pPr>
      <w:r>
        <w:rPr>
          <w:rFonts w:hint="eastAsia" w:ascii="楷体_GB2312" w:hAnsi="宋体" w:eastAsia="楷体_GB2312" w:cs="Times New Roman"/>
          <w:bCs/>
          <w:kern w:val="2"/>
          <w:sz w:val="32"/>
          <w:szCs w:val="32"/>
        </w:rPr>
        <w:t>（二）免疫效果判定。</w:t>
      </w:r>
    </w:p>
    <w:p>
      <w:pPr>
        <w:widowControl w:val="0"/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液相阻断ELISA：牛、羊抗体效价≥2</w:t>
      </w:r>
      <w:r>
        <w:rPr>
          <w:rFonts w:ascii="仿宋_GB2312" w:hAnsi="宋体" w:eastAsia="仿宋_GB2312" w:cs="Times New Roman"/>
          <w:sz w:val="32"/>
          <w:szCs w:val="32"/>
          <w:vertAlign w:val="superscript"/>
        </w:rPr>
        <w:t>7</w:t>
      </w:r>
      <w:r>
        <w:rPr>
          <w:rFonts w:ascii="仿宋_GB2312" w:hAnsi="宋体" w:eastAsia="仿宋_GB2312" w:cs="Times New Roman"/>
          <w:sz w:val="32"/>
          <w:szCs w:val="32"/>
        </w:rPr>
        <w:t>，猪抗体效价≥2</w:t>
      </w:r>
      <w:r>
        <w:rPr>
          <w:rFonts w:ascii="仿宋_GB2312" w:hAnsi="宋体" w:eastAsia="仿宋_GB2312" w:cs="Times New Roman"/>
          <w:sz w:val="32"/>
          <w:szCs w:val="32"/>
          <w:vertAlign w:val="superscript"/>
        </w:rPr>
        <w:t>6</w:t>
      </w:r>
      <w:r>
        <w:rPr>
          <w:rFonts w:ascii="仿宋_GB2312" w:hAnsi="宋体" w:eastAsia="仿宋_GB2312" w:cs="Times New Roman"/>
          <w:sz w:val="32"/>
          <w:szCs w:val="32"/>
        </w:rPr>
        <w:t>，判定为合格；</w:t>
      </w:r>
    </w:p>
    <w:p>
      <w:pPr>
        <w:widowControl w:val="0"/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正向间接血凝试验：抗体效价≥2</w:t>
      </w:r>
      <w:r>
        <w:rPr>
          <w:rFonts w:ascii="仿宋_GB2312" w:hAnsi="宋体" w:eastAsia="仿宋_GB2312" w:cs="Times New Roman"/>
          <w:sz w:val="32"/>
          <w:szCs w:val="32"/>
          <w:vertAlign w:val="superscript"/>
        </w:rPr>
        <w:t>6</w:t>
      </w:r>
      <w:r>
        <w:rPr>
          <w:rFonts w:ascii="仿宋_GB2312" w:hAnsi="宋体" w:eastAsia="仿宋_GB2312" w:cs="Times New Roman"/>
          <w:sz w:val="32"/>
          <w:szCs w:val="32"/>
        </w:rPr>
        <w:t>，判定为合格；</w:t>
      </w:r>
    </w:p>
    <w:p>
      <w:pPr>
        <w:widowControl w:val="0"/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VP1 结构蛋白ELISA：抗体效价≥2</w:t>
      </w:r>
      <w:r>
        <w:rPr>
          <w:rFonts w:ascii="仿宋_GB2312" w:hAnsi="宋体" w:eastAsia="仿宋_GB2312" w:cs="Times New Roman"/>
          <w:sz w:val="32"/>
          <w:szCs w:val="32"/>
          <w:vertAlign w:val="superscript"/>
        </w:rPr>
        <w:t>5</w:t>
      </w:r>
      <w:r>
        <w:rPr>
          <w:rFonts w:ascii="仿宋_GB2312" w:hAnsi="宋体" w:eastAsia="仿宋_GB2312" w:cs="Times New Roman"/>
          <w:sz w:val="32"/>
          <w:szCs w:val="32"/>
        </w:rPr>
        <w:t>，判定为合格。</w:t>
      </w:r>
    </w:p>
    <w:p>
      <w:r>
        <w:rPr>
          <w:rFonts w:ascii="仿宋_GB2312" w:hAnsi="宋体" w:eastAsia="仿宋_GB2312" w:cs="Times New Roman"/>
          <w:sz w:val="32"/>
          <w:szCs w:val="32"/>
        </w:rPr>
        <w:t>存栏家畜免疫抗体合格率≥70%判定为合格。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GQ0OTQyYjcyZTYzM2FiMDgwZDgyNDQxN2YyMTIifQ=="/>
  </w:docVars>
  <w:rsids>
    <w:rsidRoot w:val="2A7E6847"/>
    <w:rsid w:val="2A7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2022-09-21T08:45:00Z</dcterms:created>
  <dc:creator>VC瑶</dc:creator>
  <cp:lastModifiedBy>VC瑶</cp:lastModifiedBy>
  <dcterms:modified xsi:type="dcterms:W3CDTF">2022-09-21T08:47:17Z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B4F9DD54D1D1452EB4A9EFA6F22EAC7E</vt:lpwstr>
  </property>
</Properties>
</file>