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adjustRightInd/>
        <w:snapToGrid/>
        <w:spacing w:line="58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小反刍兽疫强制免疫方案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一、要求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对免疫保护期到期的羊只、新补栏羊只进行小反刍兽疫强制免疫。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二、免疫程序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新生羔羊</w:t>
      </w:r>
      <w:r>
        <w:rPr>
          <w:rFonts w:ascii="Times New Roman" w:hAnsi="Times New Roman" w:eastAsia="仿宋_GB2312" w:cs="Times New Roman"/>
          <w:sz w:val="32"/>
          <w:szCs w:val="32"/>
        </w:rPr>
        <w:t>64</w:t>
      </w:r>
      <w:r>
        <w:rPr>
          <w:rFonts w:ascii="仿宋_GB2312" w:hAnsi="宋体" w:eastAsia="仿宋_GB2312" w:cs="Times New Roman"/>
          <w:sz w:val="32"/>
          <w:szCs w:val="32"/>
        </w:rPr>
        <w:t>日龄以后免疫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 w:cs="Times New Roman"/>
          <w:sz w:val="32"/>
          <w:szCs w:val="32"/>
        </w:rPr>
        <w:t>次，对未免疫羊只和超过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hAnsi="宋体" w:eastAsia="仿宋_GB2312" w:cs="Times New Roman"/>
          <w:sz w:val="32"/>
          <w:szCs w:val="32"/>
        </w:rPr>
        <w:t>年免疫保护期的羊只进行免疫。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三、紧急免疫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发生疫情时对疫区和受威胁地区所有健康羊进行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 w:cs="Times New Roman"/>
          <w:sz w:val="32"/>
          <w:szCs w:val="32"/>
        </w:rPr>
        <w:t xml:space="preserve">次强化免疫。最近1个月内已免疫的羊可以不进行强化免疫。    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四、使用疫苗种类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小反刍兽疫活疫苗或小反刍兽疫联苗。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五、免疫方法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疫苗免疫接种方法按相关产品说明书规定操作，免疫剂量按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hAnsi="宋体" w:eastAsia="仿宋_GB2312" w:cs="Times New Roman"/>
          <w:sz w:val="32"/>
          <w:szCs w:val="32"/>
        </w:rPr>
        <w:t>头份每只。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六、免疫效果监测   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免疫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ascii="仿宋_GB2312" w:hAnsi="宋体" w:eastAsia="仿宋_GB2312" w:cs="Times New Roman"/>
          <w:sz w:val="32"/>
          <w:szCs w:val="32"/>
        </w:rPr>
        <w:t>天后，进行免疫效果监测。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小反刍兽疫抗体阻断ELISA检测试验抗体阳性判定为合格。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存栏羊抗体合格率≥70%判定为合格。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0C3D203A"/>
    <w:rsid w:val="0C3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2022-09-21T08:47:00Z</dcterms:created>
  <dc:creator>VC瑶</dc:creator>
  <cp:lastModifiedBy>VC瑶</cp:lastModifiedBy>
  <dcterms:modified xsi:type="dcterms:W3CDTF">2022-09-21T08:48:52Z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9D305257B486450F8989D174DC2F71EE</vt:lpwstr>
  </property>
</Properties>
</file>