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spacing w:after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附件1</w:t>
      </w:r>
    </w:p>
    <w:p>
      <w:pPr>
        <w:widowControl w:val="0"/>
        <w:tabs>
          <w:tab w:val="left" w:pos="8222"/>
        </w:tabs>
        <w:spacing w:afterLines="50" w:line="540" w:lineRule="exact"/>
        <w:jc w:val="center"/>
        <w:rPr>
          <w:rFonts w:ascii="方正小标宋简体" w:hAnsi="仿宋_GB2312" w:eastAsia="方正小标宋简体" w:cs="仿宋_GB2312"/>
          <w:bCs/>
          <w:kern w:val="2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bCs/>
          <w:kern w:val="2"/>
          <w:sz w:val="44"/>
          <w:szCs w:val="32"/>
        </w:rPr>
        <w:t>高致病性禽流感强制免疫方案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一、要求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对所有鸡、水禽（鸭、鹅）、人工饲养的鹌鹑、鸽子等进行H5亚型和H7亚型高致病性禽流感强制免疫。供研究和疫苗生产用的家禽、进口国（地区）明确要求不得实施高致病性禽流感免疫的出口家禽，有关企业报自治区农业农村厅批准后，可以不实施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二、免疫程序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楷体_GB2312" w:hAnsi="仿宋_GB2312" w:eastAsia="楷体_GB2312" w:cs="仿宋_GB2312"/>
          <w:bCs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2"/>
          <w:sz w:val="32"/>
          <w:szCs w:val="32"/>
        </w:rPr>
        <w:t>（一）规模养殖家禽免疫。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1.种禽、蛋禽（包括鸡、鸭、鹅、鹌鹑、鸽子）免疫。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种禽、蛋禽2—5周龄时进行一免；一免3—4周后，再进行二免。二免后按照免疫程序进行免疫。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2.商品代肉禽免疫。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（1）快大型肉禽。1—2周龄时免疫1次。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（2）饲养周期超过70日龄肉禽，参照种禽、蛋禽免疫程序免疫。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楷体_GB2312" w:hAnsi="仿宋_GB2312" w:eastAsia="楷体_GB2312" w:cs="仿宋_GB2312"/>
          <w:bCs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2"/>
          <w:sz w:val="32"/>
          <w:szCs w:val="32"/>
        </w:rPr>
        <w:t>（二）散养家禽的免疫。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秋两季分别进行1次集中免疫，每月定期对新补栏，进行补免。生长期超过70天的家禽在首免3—4周后进行二免。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三、紧急免疫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发生疫情时，要对受威胁区域的所有家禽进行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次强化免疫。最近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个月内已免疫的家禽可以不加强免疫。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四、使用疫苗种类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使用重组禽流感病毒（H5+H7）三价灭活疫苗（H5N6 H5-Re13株+H5N8 H5-Re14株+H7N9 H7-Re4株）、重组禽流感病毒（H5+H7）三价灭活疫苗（细胞源，H5N6 H5-Re13株+H5N8 H5-Re14株+H7N9 H7-Re4株）、重组禽流感病毒（H5+H7）三价灭活疫苗（H5N2 rHN5801株+rGD59株，H7N9 rHN7903株）。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其他经农业农村部批准上市，并经证明能有效预防H5亚型禽流感Clade2.3.4.4h和Clade2.3.4.4b、H7亚型禽流感的疫苗。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下列疫苗在有效期内仍可使用：重组禽流感病毒（H5+H7）三价灭活疫苗（H5N1 Re-11 株+Re-12 株，H7N9-Re3株）、重组禽流感病毒（H5+H7）三价灭活疫苗（细胞源，H5N1 Re-11 株+Re-12 株，H7N9-Re2株）、重组禽流感病毒（H5+H7）三价灭活疫苗（H5N2 rSD57株＋rFJ56株，H7N9 rGD76 株）。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五、免疫方法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疫苗免疫接种方法及剂量按相关产品说明书规定操作。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六、免疫效果监测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家禽免疫后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21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天进行免疫效果监测。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楷体_GB2312" w:hAnsi="仿宋_GB2312" w:eastAsia="楷体_GB2312" w:cs="仿宋_GB2312"/>
          <w:bCs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2"/>
          <w:sz w:val="32"/>
          <w:szCs w:val="32"/>
        </w:rPr>
        <w:t>（一）检测方法。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血凝抑制试验（HI）。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楷体_GB2312" w:hAnsi="仿宋_GB2312" w:eastAsia="楷体_GB2312" w:cs="仿宋_GB2312"/>
          <w:bCs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2"/>
          <w:sz w:val="32"/>
          <w:szCs w:val="32"/>
        </w:rPr>
        <w:t>（二）免疫效果判定。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禽流感抗体血凝抑制试验（HI）抗体效价≥2</w:t>
      </w:r>
      <w:r>
        <w:rPr>
          <w:rFonts w:ascii="仿宋_GB2312" w:hAnsi="仿宋_GB2312" w:eastAsia="仿宋_GB2312" w:cs="仿宋_GB2312"/>
          <w:kern w:val="2"/>
          <w:sz w:val="32"/>
          <w:szCs w:val="32"/>
          <w:vertAlign w:val="superscript"/>
        </w:rPr>
        <w:t>4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判定为合格。</w:t>
      </w:r>
    </w:p>
    <w:p>
      <w:pPr>
        <w:widowControl w:val="0"/>
        <w:tabs>
          <w:tab w:val="left" w:pos="8222"/>
        </w:tabs>
        <w:spacing w:after="0" w:line="54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存栏禽群免疫抗体合格率≥70%判定为合格。</w:t>
      </w:r>
    </w:p>
    <w:p>
      <w:pPr>
        <w:tabs>
          <w:tab w:val="left" w:pos="8222"/>
        </w:tabs>
        <w:spacing w:after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Q0OTQyYjcyZTYzM2FiMDgwZDgyNDQxN2YyMTIifQ=="/>
  </w:docVars>
  <w:rsids>
    <w:rsidRoot w:val="35C83617"/>
    <w:rsid w:val="35C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958</Characters>
  <Lines>0</Lines>
  <Paragraphs>0</Paragraphs>
  <TotalTime>4</TotalTime>
  <ScaleCrop>false</ScaleCrop>
  <LinksUpToDate>false</LinksUpToDate>
  <CharactersWithSpaces>975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2022-09-21T08:16:00Z</dcterms:created>
  <dc:creator>VC瑶</dc:creator>
  <cp:lastModifiedBy>VC瑶</cp:lastModifiedBy>
  <dcterms:modified xsi:type="dcterms:W3CDTF">2022-09-21T08:45:12Z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BFCD54712B304C06AEF3A2B9C66ADB40</vt:lpwstr>
  </property>
</Properties>
</file>