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>附件4</w:t>
      </w:r>
      <w:bookmarkStart w:id="0" w:name="_GoBack"/>
      <w:bookmarkEnd w:id="0"/>
    </w:p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  <w:t>狂犬病免疫方案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  <w:t>一、要求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对犬只实行全面免疫，重点做好人间狂犬病高发地区的农村和城乡接合部犬只的免疫工作。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  <w:t>二、免疫程序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初生幼犬3月龄时用狂犬病灭活疫苗进行首免，首免后14日应加强免疫1次，以后每年加强免疫1次。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  <w:t>三、免疫方法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按疫苗说明书的规定进行。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  <w:t>四、免疫时间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宠物犬按免疫程序实行常年免疫；农村家犬春、秋两季进行集中免疫，定期对未免疫家犬及时补免。</w:t>
      </w:r>
    </w:p>
    <w:p>
      <w:pPr>
        <w:kinsoku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sz w:val="32"/>
          <w:szCs w:val="32"/>
        </w:rPr>
        <w:t>五、疫苗种类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兽用狂犬病灭活苗。</w:t>
      </w:r>
    </w:p>
    <w:p>
      <w:pPr>
        <w:spacing w:line="520" w:lineRule="exact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/>
          <w:sz w:val="32"/>
          <w:szCs w:val="32"/>
        </w:rPr>
        <w:t xml:space="preserve">六、免疫效果监测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免疫21天后，进行免疫效果监测。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狂犬病抗体阻断ELISA检测试验抗体阳性判定为合格。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napToGrid/>
          <w:sz w:val="32"/>
          <w:szCs w:val="32"/>
        </w:rPr>
      </w:pPr>
      <w:r>
        <w:rPr>
          <w:rFonts w:hint="eastAsia" w:ascii="宋体" w:hAnsi="宋体" w:eastAsia="宋体" w:cs="宋体"/>
          <w:snapToGrid/>
          <w:sz w:val="32"/>
          <w:szCs w:val="32"/>
        </w:rPr>
        <w:t>存栏犬抗体合格率≥70%判定为合格。</w:t>
      </w:r>
    </w:p>
    <w:p>
      <w:pPr>
        <w:spacing w:line="520" w:lineRule="exact"/>
        <w:ind w:right="-197" w:rightChars="-94"/>
        <w:rPr>
          <w:rFonts w:hint="eastAsia" w:ascii="宋体" w:hAnsi="宋体" w:eastAsia="宋体" w:cs="宋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mExMzc4MDZlNzg5ZmUwNTI2ODIwMTMyODljNTIifQ=="/>
  </w:docVars>
  <w:rsids>
    <w:rsidRoot w:val="00000000"/>
    <w:rsid w:val="5E5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2022-09-13T07:22:22Z</dcterms:created>
  <dc:creator>Administrator</dc:creator>
  <cp:lastModifiedBy>一缕清风</cp:lastModifiedBy>
  <dcterms:modified xsi:type="dcterms:W3CDTF">2022-09-13T07:22:38Z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BEA7237CEE6A472690BA1B67FA97578A</vt:lpwstr>
  </property>
</Properties>
</file>