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解放街道履行职责事项清单</w:t>
      </w:r>
    </w:p>
    <w:p>
      <w:pPr>
        <w:pStyle w:val="2"/>
        <w:jc w:val="left"/>
        <w:rPr>
          <w:rFonts w:ascii="方正公文小标宋" w:eastAsia="方正公文小标宋"/>
          <w:b w:val="0"/>
          <w:sz w:val="84"/>
          <w:szCs w:val="84"/>
          <w:lang w:eastAsia="zh-CN"/>
        </w:rPr>
      </w:pPr>
    </w:p>
    <w:p>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pPr>
        <w:pStyle w:val="2"/>
        <w:rPr>
          <w:lang w:eastAsia="zh-CN"/>
        </w:rPr>
      </w:pPr>
    </w:p>
    <w:p>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pPr>
            <w:pStyle w:val="8"/>
            <w:tabs>
              <w:tab w:val="right" w:leader="dot" w:pos="13991"/>
            </w:tabs>
            <w:rPr>
              <w:rFonts w:asciiTheme="minorHAnsi" w:hAnsiTheme="minorHAnsi"/>
              <w:sz w:val="22"/>
            </w:rPr>
          </w:pPr>
          <w:r>
            <w:fldChar w:fldCharType="begin"/>
          </w:r>
          <w:r>
            <w:instrText xml:space="preserve"> TOC \o "1-3" \h \z \u </w:instrText>
          </w:r>
          <w:r>
            <w:fldChar w:fldCharType="separate"/>
          </w:r>
          <w:r>
            <w:fldChar w:fldCharType="begin"/>
          </w:r>
          <w:r>
            <w:instrText xml:space="preserve"> HYPERLINK \l "_Toc256000005" </w:instrText>
          </w:r>
          <w:r>
            <w:fldChar w:fldCharType="separate"/>
          </w:r>
          <w:r>
            <w:rPr>
              <w:rStyle w:val="13"/>
              <w:rFonts w:ascii="Times New Roman" w:hAnsi="Times New Roman" w:eastAsia="方正公文小标宋" w:cs="Times New Roman"/>
              <w:lang w:eastAsia="zh-CN"/>
            </w:rPr>
            <w:t>基本</w:t>
          </w:r>
          <w:r>
            <w:rPr>
              <w:rStyle w:val="13"/>
              <w:rFonts w:hint="eastAsia" w:ascii="Times New Roman" w:hAnsi="Times New Roman" w:eastAsia="方正公文小标宋" w:cs="Times New Roman"/>
              <w:lang w:eastAsia="zh-CN"/>
            </w:rPr>
            <w:t>履职</w:t>
          </w:r>
          <w:r>
            <w:rPr>
              <w:rStyle w:val="13"/>
              <w:rFonts w:ascii="Times New Roman" w:hAnsi="Times New Roman" w:eastAsia="方正公文小标宋" w:cs="Times New Roman"/>
              <w:lang w:eastAsia="zh-CN"/>
            </w:rPr>
            <w:t>事项清单</w:t>
          </w:r>
          <w:r>
            <w:tab/>
          </w:r>
          <w:r>
            <w:fldChar w:fldCharType="begin"/>
          </w:r>
          <w:r>
            <w:instrText xml:space="preserve"> PAGEREF _Toc256000005 \h </w:instrText>
          </w:r>
          <w:r>
            <w:fldChar w:fldCharType="separate"/>
          </w:r>
          <w:r>
            <w:t>1</w:t>
          </w:r>
          <w:r>
            <w:fldChar w:fldCharType="end"/>
          </w:r>
          <w:r>
            <w:fldChar w:fldCharType="end"/>
          </w:r>
        </w:p>
        <w:p>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ascii="Times New Roman" w:hAnsi="Times New Roman" w:eastAsia="方正公文小标宋" w:cs="Times New Roman"/>
              <w:lang w:eastAsia="zh-CN"/>
            </w:rPr>
            <w:t>配合</w:t>
          </w:r>
          <w:r>
            <w:rPr>
              <w:rStyle w:val="13"/>
              <w:rFonts w:hint="eastAsia" w:ascii="Times New Roman" w:hAnsi="Times New Roman" w:eastAsia="方正公文小标宋" w:cs="Times New Roman"/>
              <w:lang w:eastAsia="zh-CN"/>
            </w:rPr>
            <w:t>履职事项</w:t>
          </w:r>
          <w:r>
            <w:rPr>
              <w:rStyle w:val="13"/>
              <w:rFonts w:ascii="Times New Roman" w:hAnsi="Times New Roman" w:eastAsia="方正公文小标宋" w:cs="Times New Roman"/>
              <w:lang w:eastAsia="zh-CN"/>
            </w:rPr>
            <w:t>清单</w:t>
          </w:r>
          <w:r>
            <w:tab/>
          </w:r>
          <w:r>
            <w:fldChar w:fldCharType="begin"/>
          </w:r>
          <w:r>
            <w:instrText xml:space="preserve"> PAGEREF _Toc256000006 \h </w:instrText>
          </w:r>
          <w:r>
            <w:fldChar w:fldCharType="separate"/>
          </w:r>
          <w:r>
            <w:t>9</w:t>
          </w:r>
          <w:r>
            <w:fldChar w:fldCharType="end"/>
          </w:r>
          <w:r>
            <w:fldChar w:fldCharType="end"/>
          </w:r>
        </w:p>
        <w:p>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Times New Roman" w:hAnsi="Times New Roman" w:eastAsia="方正公文小标宋" w:cs="Times New Roman"/>
              <w:lang w:eastAsia="zh-CN"/>
            </w:rPr>
            <w:t>上级部门收回事项清单</w:t>
          </w:r>
          <w:r>
            <w:tab/>
          </w:r>
          <w:r>
            <w:fldChar w:fldCharType="begin"/>
          </w:r>
          <w:r>
            <w:instrText xml:space="preserve"> PAGEREF _Toc256000007 \h </w:instrText>
          </w:r>
          <w:r>
            <w:fldChar w:fldCharType="separate"/>
          </w:r>
          <w:r>
            <w:t>34</w:t>
          </w:r>
          <w:r>
            <w:fldChar w:fldCharType="end"/>
          </w:r>
          <w:r>
            <w:fldChar w:fldCharType="end"/>
          </w:r>
        </w:p>
        <w:p>
          <w:r>
            <w:rPr>
              <w:b/>
              <w:bCs/>
              <w:lang w:val="zh-CN"/>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rPr>
          <w:rStyle w:val="13"/>
          <w:rFonts w:ascii="Times New Roman" w:hAnsi="Times New Roman" w:eastAsia="方正公文小标宋" w:cs="Times New Roman"/>
          <w:color w:val="auto"/>
          <w:sz w:val="32"/>
          <w:u w:val="none"/>
          <w:lang w:eastAsia="zh-CN"/>
        </w:rPr>
      </w:pPr>
    </w:p>
    <w:p>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256000005"/>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事项名称</w:t>
            </w:r>
          </w:p>
        </w:tc>
      </w:tr>
      <w:tr>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一、党的建设事项类别（23项）</w:t>
            </w:r>
          </w:p>
        </w:tc>
      </w:tr>
      <w:tr>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全面领导街道的各类组织和各项工作，把方向、管大局、作决策、保落实</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加强街道党工委自身建设，坚持和落实好组织原则</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抓好社区党组织建设以及其他隶属街道党工委的党组织建设</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抓好发展党员工作，加强党员队伍建设</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按照干部管理权限，加强干部队伍建设</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坚持党管人才，做好人才服务和引进工作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落实全面从严治党主体责任，加强党风廉政建设和反腐败工作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开展精神文明建设，加强新时代爱国主义教育，组织开展各类文明实践活动</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落实统一战线工作责任制，团结和联系民主党派、无党派人士和党外知识分子、非公有制经济人士、新的社会阶层人士、港澳台同胞、海外侨胞和归侨侨眷等群体</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铸牢中华民族共同体意识，开展民族理论政策宣传和促进民族团结工作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指导基层群众自治，推进基层政权建设</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开展监督、执纪、问责工作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推进清廉广西建设</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加强基层党组织覆盖力度，推进基层“两企三新”党建工作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负责党代表工作室建设，推动党代表履职</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推进新时代文明实践所（站）建设和管理，开展基层新时代文明实践阵地建设</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落实人民代表大会制度，组织人大代表依法履职</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做好政协委员联络服务，支持保障政协委员履行政治协商、民主监督、参政议政</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坚持党管武装，抓好征兵、民兵工作以及国防教育和基层武装部规范化建设，推进“双拥”共建</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负责基层工会、共青团、妇联、残联等群团工作和关工委基层组织建设</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组织开展志愿服务工作，做好志愿者队伍建设管理</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宣传推广普通话以及国家通用语言文字工作</w:t>
            </w:r>
          </w:p>
        </w:tc>
      </w:tr>
      <w:tr>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二、经济发展事项类别（14项）</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贯彻落实国民经济和社会发展规划，制定并组织实施本地经济发展规划</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优化营商环境，落实惠企政策，提供要素保障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负责项目谋划、储备、建设、投产等工作，做好项目管理和服务保障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开展企业技改服务工作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做好街道商会工作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开展经济普查工作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开展人口普查工作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开展基层统计工作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开展“金嗓子”科创园相关工作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开展地王商圈夜市相关工作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丰富辖区经济业态工作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开展预决算的编制、公开、执行工作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负责国有资产配置、使用、处置等管理工作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开展社区财务审计和社区“两委”班子成员任期经济责任审计工作</w:t>
            </w:r>
          </w:p>
        </w:tc>
      </w:tr>
      <w:tr>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三、民生服务事项类别（21项）</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负责城乡居民基本医疗保险 、灵活就业人员职工医疗保险政策宣传、参保登记、信息变更、信息查询、异地就医备案、依申请救助等工作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负责城乡居民基本养老保险政策宣传、参保登记、待遇领取资格确认、信息变更等工作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落实生育政策，做好人口信息监测、生育登记工作，依法保障相关待遇</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开展养老服务工作，引导社区组织开展互助式养老服务，维护老年人合法权益</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开展高龄津贴政策宣传、受理申请、调查审批和动态管理工作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为开展最低生活保障对象、最低生活保障边缘家庭和支出型困难家庭救助工作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负责特困人员供养的政策宣传、申请受理、入户调查、初审、公示、认定和动态管理等工作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负责临时遇困人员小额救助金的申请受理、入户调查、审核、公示、认定上报等工作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开展未成年人保护法宣传，提供未成年人保护等服务工作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负责孤儿、流动儿童、困境儿童、事实无人抚养儿童的关心关爱工作，做好基本生活保障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开展就业创业失业政策宣传，组织参加技能培训，做好就业供需对接，引导申请创业就业补贴、申报公益性岗位等工作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开展随迁老人“红色关怀”工作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开展爱国卫生运动，加强健康教育和促进工作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社区惠民资金项目审批、验收</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开展对未达到登记条件的社区社会组织指导和管理工作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负责企业退休人员社会化管理服务工作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保障适龄儿童、少年接受义务教育权利</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开展食品安全宣传相关工作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做好食品摊贩经营区域管理工作</w:t>
            </w:r>
          </w:p>
        </w:tc>
      </w:tr>
      <w:tr>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四、平安法治事项类别（10项）</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推进法治政府建设工作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建设街道综治中心，开展社会治安风险防控工作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做好行政诉讼应诉工作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落实国家安全责任制，开展国家安全宣传教育</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落实信访工作联席会议制度，办理信访事项，做好信访矛盾化解工作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坚持和发展新时代“枫桥经验”，开展社会矛盾和纠纷排查化解、风险预警及源头防范等工作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做好网格划分和网格员管理，常态化开展网格化服务管理工作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发挥“三官一律”专业力量开展社会基层治理</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负责落实平安建设领导责任制，推动平安建设工作深入开展</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开展普法宣传活动</w:t>
            </w:r>
          </w:p>
        </w:tc>
      </w:tr>
      <w:tr>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五、生态环保事项类别（8项）</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落实河长制，保护水资源环境</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负责涉渔“三无”船舶（含船、艇、排、筏等）安全监管</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开展饮用水水源保护工作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开展绿化工作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开展生活垃圾分类工作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开展辖区生态环境问题调解处置工作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开展生态环境保护宣传工作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开展日常餐饮油烟污染处置工作</w:t>
            </w:r>
          </w:p>
        </w:tc>
      </w:tr>
      <w:tr>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六、城乡建设事项类别（5项）</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负责测量标志保护工作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负责符合条件的居民小区组建物业管理委员会的指导、监督、备案工作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负责居民小区成立业主大会，选举业主委员会的指导、备案工作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指导商铺落实“门前三包”责任制</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开展老旧小区、背街小巷改造，环境整治提升工作</w:t>
            </w:r>
          </w:p>
        </w:tc>
      </w:tr>
      <w:tr>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七、文化和旅游事项类别（2项）</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开展公共文化服务工作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开展全民健身活动</w:t>
            </w:r>
          </w:p>
        </w:tc>
      </w:tr>
      <w:tr>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八、综合政务事项类别（10项）</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负责档案收集、整理、归档、移交等工作，监督、指导所属单位和社区开展档案管理工作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承办12345热线转办的诉求事项，按职责分工完成诉求答复工作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开展政务信息公开工作，对申请公开的信息依法办理答复</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完善便民服务中心集中服务模式，指导社区为群众提供“一站式”便民服务</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负责政府采购工作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开展街道财务管理工作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负责街道大事记、街道志等整理、编纂工作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负责办公用房、会务服务等机关后勤保障工作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负责固定资产管理工作</w:t>
            </w:r>
          </w:p>
        </w:tc>
      </w:tr>
      <w:tr>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负责公共机构节能工作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256000006"/>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color w:val="auto"/>
                <w:lang w:eastAsia="zh-CN" w:bidi="ar"/>
              </w:rPr>
              <w:t>乡镇（街道）配合职责</w:t>
            </w:r>
          </w:p>
        </w:tc>
      </w:tr>
      <w:tr>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一、党的建设事项类别（8项）</w:t>
            </w:r>
          </w:p>
        </w:tc>
      </w:tr>
      <w:tr>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 xml:space="preserve">       党委组织部：（1）组织开展“两优一先”等党内表彰激励工作；（2）负责颁发“光荣在党50年”纪念章工作；（3）宣传表彰优秀基层干部先进典型；（4）收集、汇总、向上级推选“最美公务员”“人民满意的公务员”“人民满意的公务员集体”等先进典型。</w:t>
            </w:r>
            <w:r>
              <w:rPr>
                <w:rFonts w:hint="default" w:ascii="Times New Roman" w:hAnsi="Times New Roman" w:eastAsia="方正公文仿宋" w:cs="Times New Roman"/>
                <w:color w:val="auto"/>
                <w:lang w:eastAsia="zh-CN" w:bidi="ar"/>
              </w:rPr>
              <w:br w:type="textWrapping"/>
            </w:r>
            <w:bookmarkStart w:id="8" w:name="OLE_LINK1"/>
            <w:r>
              <w:rPr>
                <w:rFonts w:hint="default" w:ascii="Times New Roman" w:hAnsi="Times New Roman" w:eastAsia="方正公文仿宋" w:cs="Times New Roman"/>
                <w:color w:val="auto"/>
                <w:lang w:eastAsia="zh-CN" w:bidi="ar"/>
              </w:rPr>
              <w:t xml:space="preserve">       </w:t>
            </w:r>
            <w:bookmarkEnd w:id="8"/>
            <w:r>
              <w:rPr>
                <w:rFonts w:hint="default" w:ascii="Times New Roman" w:hAnsi="Times New Roman" w:eastAsia="方正公文仿宋" w:cs="Times New Roman"/>
                <w:color w:val="auto"/>
                <w:lang w:eastAsia="zh-CN" w:bidi="ar"/>
              </w:rPr>
              <w:t>党委宣传部：加强对“最美公务员”“人民满意的公务员”“人民满意的公务员集体”等先进典型的宣传。</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总工会：统筹做好劳动模范和先进生产(工作)者推荐、培养和管理。</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妇联：组织开展三八红旗手（集体）等先进典型的评选、表彰、宣传、培养和管理。</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团区委：组织开展五四红旗团组织等评选活动。</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城区相关部门：组织开展各自领域先进典型评选活动。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 xml:space="preserve">       （1）挖掘宣传党员、干部、群众的先进事迹，培育选树典型，充分挖掘各行各业典型人物；</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（2）推荐合适人选(单位)参与各领域先进集体和先进个人评选表彰，收集、审核、上报材料；</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（3）做好先进典型</w:t>
            </w:r>
            <w:bookmarkStart w:id="13" w:name="_GoBack"/>
            <w:bookmarkEnd w:id="13"/>
            <w:r>
              <w:rPr>
                <w:rFonts w:hint="default" w:ascii="Times New Roman" w:hAnsi="Times New Roman" w:eastAsia="方正公文仿宋" w:cs="Times New Roman"/>
                <w:color w:val="auto"/>
                <w:lang w:eastAsia="zh-CN" w:bidi="ar"/>
              </w:rPr>
              <w:t>宣传工作。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党委组织部：负责组织开展城区级党代表推选工作，做好城区级以上党代表人选推荐、选举工作。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党委统战部：负责组织开展城区级政协委员推选工作，做好城区级以上政协委员人选推荐、选举工作。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人大常委会机关：负责组织开展城区级人大代表推选工作，做好城区级以上人大代表人选推荐、选举工作。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政协机关：按职责配合做好城区级政协委员人选把关工作。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（1）根据分配的人选名额提出初步人选建议；</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（2）根据组织委托，对人选进行考察；</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（3）按规定开展县级党代表、人大代表选举工作，开展县级政协委员候选人推荐工作，开展县级以上党代表、人大代表、政协委员候选人推荐工作。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党委组织部：（1）负责组织开展公务员、选调生招录报名、考试；（2）负责组织开展拟录用公务员、选调生人选考察，配合上级组织部门完成录用工作；（3）办理公务员、选调生入职手续。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人力资源社会保障局：（1）按职责指导或组织开展事业单位工作人员公开招聘工作；（2）按程序办理事业单位工作人员聘用手续。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（1）上报公务员、选调生、事业单位人员年度招录计划；</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（2）配合完成拟录（聘）用人选考察、入职等工作。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（1）对辖区内党员信息进行日常更新管理；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（2）根据上级组织部门要求集中开展年内党员统计工作。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建好管好社区组织活动场所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党委组织部：负责社区基层党组织场所标准制定，建立社区组织活动场所管理维护修缮新建机制。</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财政局：落实经费保障。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发展改革局：负责指导项目立项、财评工作。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自然资源局：负责落实用地规划选址、用地报批、供地等工作。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住房城乡建设局：负责项目设计和质量监督。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（1）负责社区党群服务中心运行维护；</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（2）指导督促做好社区组织活动场所的建设、管理、使用；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（3）指导督促做好基层党组织活动场所的建设、管理、使用。</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落实社区运转经费和党组织活动经费等保障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党委组织部：（1）负责统筹协调相关部门做好专项经费的使用管理；（2）按规定落实基层党组织活动经费；（3）负责社区“两委”正常离任干部信息复核；（4）建立健全相关经费正常增长机制。</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财政局：（1）负责做好专项经费的预算、审核、拨付、监管等工作；（2）负责建立健全以财政投入为主的稳定的村级组织运转经费保障制度；（3）负责社区干部基本报酬、正常离任社区干部养老补助、社区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（1）负责社区运转经费日常监管；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（2）负责享受报酬待遇的社区干部认定，做好社区运转经费核算；</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（3）负责其他领域基层党组织党建工作经费的日常监管。</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（1）统筹、协调、指导、保障巡视巡察工作开展；</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（2）负责巡视巡察整改和成果运用的统筹协调、跟踪督促、汇总报告；</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（1）配合上级开展巡视巡察工作，提供必要的工作条件；</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（2）配合巡视巡察期间人员谈话、实地调研等工作；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（3）做好巡视巡察问题整改。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（1）制定党史、地方志、年鉴编纂的长期规划与年度计划，明确编纂目标、任务、进度和质量标准；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（2）对收集的资料进行分类、整理、鉴别和筛选，确保资料的真实性、准确性和完整性；</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（3）制定编纂工作的规范和标准，对资料收集、内容编写、体例编排、审核出版等环节进行指导，统一编纂要求；</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收集、整理、撰写党史和地方志（年鉴）编纂所需文字材料，提供有关图片。</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二、平安法治事项类别（3项）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（1）负责统筹组织开展见义勇为人员的奖励和保护工作；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（2）负责见义勇为行为的核实、认定，并报送同级见义勇为评审委员会评审；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（1）受理申请并进行核查、举荐确认；</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（2）向上级申报见义勇为行为；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（3）对不适用《工伤保险条例》规定的见义勇为负伤人员开展帮扶救助。</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（1）负责宣传禁种铲毒法律法规和知识；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（2）建立种植毒品原植物的信息档案，全面掌握毒品原植物种植情况；</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（1）开展禁种铲毒宣传教育；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（2）配合上级有关部门开展排查，发现非法种植毒品原植物的，向当地公安机关报告。</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（1）积极推进公共法律服务平台建设，依托法律援助组织、乡镇司法所现有资源，推进公共法律服务站和工作室的建设；</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（2）指导乡镇法律顾问的选聘、联络和考核等日常事务，推动开展公职律师工作；对乡镇（街道）重大决策和重大行政行为提供法律意见和建议；</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（3）为村（社区）聘请法律顾问，推动法律顾问律师到村中开展法律服务；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（1）依托司法所设立公共法律服务工作站、法律援助站，推动公共法律服务工作站规范化建设；</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（2）配合开展一社区一法律顾问工作；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（3）配合开展法律顾问（含内部选任及外聘的法律顾问）服务情况统计及公职律师日常管理工作；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（4）协助司法局开展法律援助工作，收集法律援助相关材料。</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三、社会管理事项类别（14项）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（1）负责辖区内动物疫病预防控制；</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（2）负责指导养殖企业和个人做好动物疫病预防控制；</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（3）负责开展强制免疫工作；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（1）协助做好动物疫病防控宣传；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（2）动员本辖区饲养动物的单位和个人做好强制免疫；</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（3）收集、报告疫情信息，配合落实各项应急处置措施。</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（1）负责全民科学素质行动实施；</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（2）负责组织开展群众性、社会性和经常性的科普活动；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（1）动员群众参加农村适用技术培训、科普进乡村等活动；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（2）协助做好科普宣传。</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公安局：（1）负责对非法集资行为进行调查处理；（2）负责打击和处置非法集资。</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（1）做好辖区内防范非法集资宣传教育；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（2）做好疑似非法集资信息摸排上报。</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（1）指导、督促社区组织配合做好流动人口信息采集等服务管理工作；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（2）协助做好出租房屋管理工作；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（3）协助做好流动人口管理政策法规宣传。</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（1）负责殡葬服务、监督管理工作；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（2）负责农村公益性墓地管理审批；</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（1）开展殡葬管理政策法规宣传；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（2）参与殡葬监督管理工作。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（1）办理本级行政复议案件；</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（2）统计辖区内行政复议与行政诉讼案件数据；</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（1）对实施行政行为而被提起行政复议、行政诉讼的，及时配合收集材料证据、开展调查、调解，做好行政复议与应诉各项工作；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（2）上报行政复议与行政诉讼案件数据；</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（3）明确法律顾问，负责本单位法律事务，并指导社区处理涉及群众切身利益的涉法事务。</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（1）组织开展预算执行审计、经济责任审计、资源环保审计、民生资金审计、重大政策措施落实情况审计、政府投资项目审计；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（1）负责提供审计机关要求提供的财务、会计资料以及与财政收支、财务收支有关的业务、管理等资料；</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（2）提供现场审计必要的办公条件，办公场所、落实专人配合审计机关工作等；</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（3）落实审计反馈问题的整改工作，向审计机关报送审计整改情况。</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（2）对工伤相关材料进行审查，依法能够受理的进行受理，不能受理的，对申请人说明理由，按程序核查工伤认定相关材料，出具工伤认定书；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（1）配合调解用人单位劳动人事争议纠纷，做好矛盾排查和调处工作，防范和化解矛盾纠纷，重点留意和预防可能引发群体性或突发性事件的纠纷；</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（2）督促用人单位按时完成书面审查，联系相关用人单位、相关责任人，配合协调、调查、取证、送达；</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（3）联系涉及工伤认定用人单位、相关责任人配合调查、取证、送达、协调；</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（4）开展劳动法律法规和规章宣传，提升用人单位和劳动者遵法守法意识。</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对广播电视市场的违法行为进行处罚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（1）对各类广播电视机构进行业务指导和行业监管；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（2）查处辖区广播电视市场的违法行为，维护市场秩序。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（1）开展广播电视市场的违法行为的排查；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（2）将摸排发现的问题线索及时上报；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（3）配合上级部门对违法行为进行查处。</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（1）研究制定物业管理活动相关政策措施；</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（2）对物业服务企业实施分类监管加强对物业服务质量监督检查；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（3）对物业服务人及其从业人员、业主大会筹备组成员、业主委员会委员进行业务指导、培训和监督管理；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（4）指导监督物业管理招投标活动；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（5）对物业承接查验、物业服务人退出交接活动进行指导和监督；</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（6）制定临时管理规约、管理规约、业主大会议事规则、前期物业服务合同、物业服务合同等与物业管理有关的示范文本和指导规则；</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（7）处理物业管理活动中的投诉、举报；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（8）对物业专项维修资金交存、管理和使用情况以及公共收益收支情况进行监督管理；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（1）配合有关主管部门开展物业管理区域的划分、调整工作；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（2）参与物业承接查验，指导和监督辖区内物业管理项目的移交和接管工作，组织召开物业管理工作联席会议，研究处理物业管理有关问题；</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（3）完善物业管理纠纷调解、投诉、举报处理机制；</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（4）指导和监督物业服务人履行法定的义务。</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教育局、公安局、城区相关部门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教育局：（1）涉校涉生安全管理，保障校园安全，监督、指导学校、幼儿园等单位落实校园安全责任，建立突发事件的报告、处置和协调机制；（2）抓好校园周边人文、饮食、卫生环境等相关问题的排查治理工作；（3）充分发挥“双减”工作协调机制牵头作用，加强统筹协调，会同有关部门对学科类隐形变异培训和各类校外培训进行日常监管；（4）实施网格化管理，街道各部门分工负责、多级联动和校外培训违法违规问题发现、报告、处置全链条闭环机制，完善校外培训治理模式，将问题化解在基层、化解在萌芽。</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公安局：了解掌握学校及周边治安状况，检查指导学校做好校园保卫工作，分析研判校园周边安全形势，依法维护校园周边的治安和交通秩序。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城区相关部门：按照职责分工，依法负责学校安全工作，履行学校安全管理职责。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督促辖区内学校落实安全管理制度，并开展校园周边文化娱乐场所、摊点经营乱象、安全生产隐患、水域防范管理、交通秩序维护、重点人员管理、矛盾纠纷化解、涉校违法犯罪、校园网络安全等排查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（2）建立街道中小学幼儿园安全总校（园）长例会制度；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（3）排查违规培训场所并督促整改，对校外培训违法违规问题及时发现及时报告。</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开展“无违建社区”建设工作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（1）开展无违建社区管控工作；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（2）做好无违建社区内新增违法建设的巡查防控工作，核实新建（在建）违建案件线索；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（3）负责城市管理法律普法宣传、教育劝导、执法案件巡查检查，受理与处置城管执法职责范围的询问、投诉与案件线索工作；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（4）及时制止城管执法领域的违法违规违章行为。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（1）开展无违建社区检查工作；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（2）组织社区网格员日常巡查及时发现新建（在建）违建，上报新建（在建）违建线索。</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开展建筑垃圾临时堆放点管理工作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（1）设立建筑垃圾临时堆放点，明确要求；</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（2）按规定对随意倾倒建筑垃圾行为进行处置。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（1）做好宣传，引导居民将建筑垃圾投放到临时堆放点；</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（2）加强日常巡查，对违法行为及时劝止；</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（3）及时向上级部门报告。</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数字化城市管理工作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（1）依托城市管理数字化信息平台，接收市一级平台分派的数管案件进行派遣、追踪和督办；</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（2）将各处置单位反馈的结果及时向市级指挥平台进行反馈；</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（3）负责对数管相关案件和数据进行统计分析；</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（4）对数管工作适时进行信息发布和综合评价，为领导决策提供数据支持。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（1）对各沿街责任单位进行责任告知；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（2）对责任区域内影响市容秩序、环境卫生、城市绿化的违法（章）现象进行信息接收、处理、反馈；</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（3）加强对辖区内日常清扫、保洁工作的监督管理。</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四、社会保障事项类别（13项）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残联：推进残疾人家庭无障碍设施改造。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（1）开展无障碍环境保护宣传: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（2）对无障碍环境设施进行日常巡查保护，发现破坏行为及时阻止，有损坏的及时上报: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（3）负责残疾人家庭无障碍设施改造申请初审；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（4）参与无障碍环境设施建设的评估和验收。</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（1）指导幼儿园党建工作；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（2）负责制定学前教育发展规划；</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（1）开展适龄儿童摸底调查，配合做好适龄儿童入学工作；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（2）配合开展学前教育发展规划和监管工作；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（3）支持办好辖区各类幼儿园，在土地划拨等方面对幼儿园予以支持。</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（1）做好认定和排查工作，确保适龄儿童、少年接受义务教育；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（2）办理适龄儿童、少年因身体状况需要延缓入学的手续；</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（3）对因身体原因不能到校就读的学生实施送教上门服务。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（1）负责适龄儿童、应读未读适龄儿童人群情况摸排，了解未到校就读原因；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（2）开展控辍保学宣传，落实“双线四包”责任，了解在校生辍学原因，对特殊家庭进行指导，依法督促家长送孩子到校上课。</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（1）加强对城乡教育经费保障工作的统筹管理、指导和协调；</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（2）加强教育基础信息管理工作，确保学生学籍信息等数据真实准确；</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（1）宣传学生资助政策；</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（2）指导符合资助政策的对象申请相关补助。</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（1）负责孤儿和事实无人抚养儿童建档登记；</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（2）负责孤儿基本生活费和事实无人抚养儿童基本生活补贴的审批；</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（1）做好政策宣传和排查核实；</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（2）负责孤儿基本生活费和事实无人抚养儿童基本生活补贴初审。</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做好养老服务设施建设、养老服务机构管理工作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（1）贯彻落实促进全区养老事业发展的政策措施；</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（2）统筹推进、督促指导、监督管理养老服务工作，贯彻落实养老服务体系建设规划、政策、标准。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（3）负责养老机构的指导、监督和管理；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（4）会同有关部门采取措施，鼓励、支持企事业单位、社会组织或者个人兴办、运营养老机构；</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（5）对养老机构服务安全和质量进行检查；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（6）负责养老机构备案工作。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（1）排查养老服务设施建设场地情况；</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（2）宣传政府购买居家养老服务政策；</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（3）摸排符合条件的服务对象数据，为其办理服务申请，审批、注销等事宜；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（4）对服务商的服务质量进行监管。</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开展慈善捐赠款物分配送达、信息统计等工作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明确专门机构、人员，提供需求信息，及时有序引导慈善组织、志愿者等社会力量开展募捐和救助活动。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（1）做好捐赠款物分配；</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（2）做好捐赠款物送达；</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（3）做好捐赠款物信息统计等工作。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（1）负责追回骗取社会救助资金、物资；</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（1）开展对骗取社会救助资金、骗取最低生活保障金及物资等违法人员的信息核实；</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（2）配合开展追回工作。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开展经济困难老年人养老服务补贴、失能老年人集中照护补贴工作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（1）负责经济困难老年人养老服务补贴审核发放工作；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（2）对补贴对象实施动态管理，建立健全抽查、核查、公示和统计报告制度，负责登记造册、统计台账、档案管理等工作。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（1）对符合经济困难老年人的申请进行审查；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（2）负责对经济困难失能老年人进行初步调查核实；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（3）对符合条件的人员名单进行公示；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（4）建立监督管理机制，定期核查，针对不同情况采取管理措施。</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开展城乡居民养老保险违规领取待遇追缴工作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（1）筛查领取和死亡冒领基本情况;</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（2）将情况下发乡镇（街道）核实；</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（3）完成退款并录入系统。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（1）核实领取和死亡冒领基本情况；</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（2）送达告知书、上门催退、督促退扣等。</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开展就业困难人员灵活就业社会保险补贴申领工作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（1）对街道录入系统中符合条件的就业困难人员灵活就业社会保险补贴申领信息进行审核；</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（2）对符合的申请进行公示；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（3）向县级财政请款发放。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（1）收集申请材料；</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（2）对符合条件的就业困难人员灵活就业社会保险补贴申领信息录入系统。</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开展公共租赁住房（公租房、租赁补贴）工作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住房城乡建设局、民政局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住房城乡建设局：负责公共租赁住房申请的复核及租赁补贴申请的复核、发放工作。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民政局：负责本内低收入家庭（低保边缘家庭）、低保对象、特困供养人员身份认定及特殊保障家庭经济状况核定工作。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（1）负责公共租赁住房轮候家庭保障资格申请受理、初审及复核工作；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（2）负责住房保障租赁补贴申请受理、初审、公示等工作；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（3）配合做好住房补贴年审工作。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财政局、人力资源社会保障局、农业农村局、自然资源局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财政局:（1）负责公益性岗位人员岗位补贴发放；（2）负责公益性岗位人员社会保险补贴审批发放。</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人力资源社会保障局:（1）负责公益性岗位的开发和管理工作;（2）负责公益性岗位人员的选派工作;（3）负责对公益性岗位人员在岗情况、社保申报缴费情况开展监督检查。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（1）开发公益性岗位工作，配合人社部门发布岗位招聘信息；</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（2）开展公益性岗位补贴材料收集、整理、审核、公示工作，报人社部门申报补贴；</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（3）做好公益性岗位人员培训和日常管理。</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五、生态环保事项类别（9项）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（1）负责古树名木的普查、认定以及宣传、培训等工作；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（2）负责日常巡查，按照保护级别对古树名木养护情况进行定期检查、养护；</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（1）开展古树名木保护巡查工作，发现异常或违法情况及时上报；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（2）对规定养护范围内的古树名木进行养护；</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（3）推广古树名木保护科研成果，宣传普及保护知识。</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（1）牵头开展野生动植物保护法律法规宣传；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（2）对执法、巡查相关人员开展知识培训和业务指导；</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（3）建立巡查机制，开展定期巡查，受理投诉举报并及时查证、处理；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（1）向辖区群众发放宣传资料，普及野生动物保护知识；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（2）组织相关人员参加法律法规和专业知识培训；</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（3）组织开展日常巡查，发现捕猎、偷盗野生动 植物及时劝阻并上报行业主管部门；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（4）协助有关部门开展野生动物收容救护。</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（1）制定水土保持工作措施并组织实施；</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（2）做好水土保持监测工作，督促做好水土流失预防和治理；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（1）开展水土保持宣传工作；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（2）组织动员单位和个人开展植树、种草等封育保护、自然修复建设工作；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（3）加强对取土、挖砂、采石等行为的管理。禁止在崩塌、滑坡危险区和泥石流易发区从事取土、挖砂、采石等可能造成水土流失的活动。</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生态环境局：（1）负责畜禽养殖污染防治的统一监督管理；（2）对违反畜禽养殖规定行为的处罚和跟踪整改。</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（1）负责畜禽养殖污染防治法律法规宣传；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（2）发现畜禽养殖环境污染行为的，应当及时制止和报告。</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发展改革局、公安局、生态环境局、住房城乡建设局、交通运输局、农业农村局、市场监管局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发展改革局：负责清洁能源保障工作。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公安局：负责机动车大气污染防治。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生态环境局：负责制定年度大气污染防治计划，制定重污染天气的应对方案，确定大气污染物减排目标及具体实施方案，协调推进大气污染联防联控机制，推进重点企业行业大气污染防治整治提升。</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住房城乡建设局：负责建筑工程扬尘污染防治。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交通运输局：负责道路扬尘污染防治。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农业农村局：负责水利工程扬尘污染防治。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（1）负责加强大气环境保护宣传，普及大气污染防治法律法规和科学知识；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（2）对大气污染防治开展日常巡查；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（3）及时制止、处置环境污染和生态破坏行为，及时上报涉嫌环境违法情况。</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自然资源局：根据土壤污染程度和相关标准，对土地实施分类管理。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生态环境局：（1）对本行政区域土壤污染防治工作实施统一监督管理；（2）普查、监测土壤污染状况；（3）监管建设用地土壤污染风险管控和修复名录中的地块；（4）监管土壤污染重点监管单位。</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农业农村局：（1）开展政策宣传、培训和引导；（2）组织、协调、督促有关部门依法履行土壤污染防治监督管理职责；（3）对受污染耕地开展分类管控，调整种植结构。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（1）开展土壤污染防治环境宣传，引导公众参与土壤污染防治工作；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（2）开展土壤污染防治排查，对排查发现的土壤污染情况及时劝阻，劝阻无效及时上报相关业务主管部门。</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生态环境局：（1）对疑似水污染进行监测，组织行业管理部门进行处置；（2）行业主管部门负责调查评估、责任认定和督促整改。</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（1）开展水污染防治宣传教育，引导公众依法参与水污染防治；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（2）开展非专业性排查，发现疑似水污染问题及时劝阻，劝阻无效的及时上报生态及相关行业主管部门。</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公安局：对产生社会生活噪声的违法违规行为 ，区分情况依法予以查处。</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生态环境局：负责噪声污染防治宣传教育，对工业噪声污染防治实施监督管理。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住房城乡建设局：对企业生产、建筑等产生噪音的行为进行认定，对属于噪声污染扰民的违法违规行为，区分情况依法予以查处。</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（1）开展噪声污染防治宣传教育；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（2）统筹网格监管力量，开展日常巡查，发现或收到辖区内群众举报噪声扰民问题及时劝告制止并上报。</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（1）负责制定固体废物污染防治宣传方案；</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（2）拟订固体废弃物以及化学品的污染防治规划，并组织实施；</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（1）开展固体废物污染防治宣传工作；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（2）协助生态环境部门指导企业完成新化学污染物、一般固废（危废）等系统填报及申报备案；</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（3）开展日常巡查，发现固体废物污染环境违法行为及时上报。</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六、城乡建设事项类别（8项）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（1）负责常态化开展自建房安全隐患排查；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（2）负责对存在安全隐患的房屋，聘请专业机构进行安全鉴定；</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（3）负责组织开展专项整治工作；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（1）开展自建房日常安全宣传、巡查排查和问题上报；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（2）负责房屋管理信息平台录入工作；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（3）协助开展自建房安全整治销号。</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发展改革局：（1）负责电力设施和电能保护的监督管理工作；（2）制定本行政区域处置电网大面积停电事件应急预案，建立健全工作协调机制，解决电力设施和电能保护中的重大问题；</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（3）督促电力企业履行电力设施保护主体责任。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（1）协助做好电力设施保护宣传；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（2）发现危害电力设施的行为及时上报；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（3）配合涉及电力设施保护的纠纷调处。</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（1）承担行政区划管理工作，负责乡级行政区划调整，以及乡镇人民政府驻地迁移和街道办事处驻地变更的组织申报；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（2）负责行政区域界线的勘定和管理，指导乡级行政区域界线联检；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（3）负责地名管理工作，依法加强对地名的命名、更名、使用、文化保护的监督检查。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（1）协助做好实施行政区划、行政区域界线和地名管理的有关政策落实；</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（2）配合做好界桩管护、变更；</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（3）定期对行政区划界线、界桩进行巡查，发现问题及时上报。</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公安局、住房城乡建设局、卫生健康局、教育局、文化体育广电和旅游局、应急管理局、综合行政执法局、市场监管局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公安局：协助有关部门做好相关处置工作。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住房城乡建设局：开展对使用燃煤取暖的建筑施工工地、民工宿舍等场所燃气安全隐患排查整治。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卫生健康局：非职业性一氧化碳中毒事件的救治和信息报告工作并会同有关部门开展科普宣教工作。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教育局：指导各类学校做好相关教育和防范工作。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文化体育广电和旅游局：利用广播电视等媒体积极开展科普宣传和警示教育工作。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应急管理局：对有关生产经营单位的监管和统筹协调工作，做好事件发生后的应急救助工作。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综合行政执法局：负责燃气安全监管工作，开展罐装燃气充气等站点的执法检查，加大打非治违力度，取缔不合格燃气用具和黑燃气经销点。</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市场监管局：负责有关产品的质量安全检查和执法打假工作，打击相关市场非法经营和销售假冒伪劣商品工作。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（1）负责居民防范非职业性一氧化碳中毒的科普宣传教育；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（2）开展隐患排查，接到事件，通知医疗机构，赶赴现场，前期救援，并上报县级部门。</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开展电动自行车充电设施工作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住房城乡建设局、消防大队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住房城乡建设局：负责全面梳理电动自行车停放场所的充电设施建设和运营情况。</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消防大队：（1）普及安全充电知识；（2）对居民小区、公共场所的电动自行车停放、充电行为进行监督检查；（3）对“飞线充电”、占用消防通道充电等违法行为依法责令整改或处罚，消除火宅隐患。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（1）排查电动自行车充电设施建设和运营情况；</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（2）对辖区违规充电行为进行劝导，发现问题及时上报。</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（1）负责牵头组织专项整治工作；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（2）负责政策指导、方案制定、危旧房台账汇总、整治工作监督等。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（1）负责宣传发动、组织居民群众积极参与改造；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（2）指导社区做好老旧小区改造前期摸排工作。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既有住宅加装及更新电梯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（1）负责本行政区域内加装电梯相关政策制定、指导协调、条件审查、联合审查等工作；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（2）负责监督加装电梯工程电梯配置设计和电梯机房、井道、底坑等工程质量；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（3）配合特种设备安全监督管理部门监督指导电梯使用管理单位落实电梯安全主体责任；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（4）建立健全电梯更新、改造、修理、维护保养等专项维修资金使用管理制度。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（1）负责做好本辖区内既有住宅加装电梯需求情况摸查；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（2）负责加装电梯工程的登记、公示公告指导监督，建立工作台账；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（3）做好政策解释与宣传发动、服务指导以及矛盾纠纷调解等工作。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（1）统筹安排建设城镇污水集中处理设施及配套管网，提高本行政区域城镇污水的收集率和处理率；</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（2）负责本行政区域内城镇排水与污水处理的监督管理工作；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（3）保障移交的农村生活污水设施的正常运行；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（4）污水排放的专业性排查；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（5）污水处理项目申报；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（1）开展污水项目用地宣传及协调工作；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（2）开展排水、污水管网的规划建设工作；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（3）做好污水处理设施日常运行的监督工作。</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七、交通运输事项类别（2项）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（1）开展保障铁路安全和加强铁路运输安全的宣传教育；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（2）开展日常巡查，防范和制止危害铁路安全和铁路运输安全的行为；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（3）协调和处理保障铁路安全的有关事项，做好保障铁路安全和运输安全的有关工作；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（1）开展宣传教育活动；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（2）落实护路联防责任制、双段长责任制；</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（3）协助开展铁路沿线的安全巡查；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（4）配合铁路护路相关执法。</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公安局、交通运输局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公安局：（1）负责路面执法管理，优化执法措施；（2）开展道路交通安全宣传教育，对道路交通安全违法行为进行劝导、处罚；（3）纠正和处罚交通违法行为。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交通运输局：（1）组织开展道路交通相关基础数据摸排；（2）开展安全隐患消除和保障道路安全的相关工作。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（1）开展道路交通安全宣传教育；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（2）配合开展道路交通相关基础数据收集整理；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（3）劝导道路交通安全违法行为，排查上报各类道路交通安全隐患；</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（4）协助开展安全隐患消除和保障道路安全的相关工作；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（5）发生致1人以上（含）死亡或三人以上受伤（含）道路交通事故的，乡镇主要负责人或分管领导到现场协调处置。</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八、商贸流通事项类别（3项）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做好拖欠中小企业账款排查工作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（1）对拖欠中小企业账款线索进行核实，督促拖欠单位及时制定清还方案，跟踪清偿工作进度；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（2）定期组织城区财政局、城区人社局、城区审计局、城区住建局、城区教育局、各镇（街道）等成员单位开展自查工作，协调解决清欠难题，统筹开展工作；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（3）对发现的问题及时查清成因，制定清还方案，跟踪清偿工作进度，协调化解问题，确保清还工作落实到位。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（1）对拖欠中小企业账款线索进行核实。</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（2）开展本级自查工作，对发现的问题及时查清成因，制定清还方案，跟踪清偿工作进度，定期报送工作进度。</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开展工业企业安全生产监管工作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（1）负责民用爆炸物品生产企业的安全生产及监督管理；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（2）指导工业行业安全生产管理；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（3）指导重点工业企业排查治理安全生产隐患；</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（4）协助相关部门开展应急管理工作，参与重特大安全生产事故的调查、处理。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（1）对辖区工业企业安全生产状况进行监督检查；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（2）开展安全知识宣传，增强工业企业安全生产意识。</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开展打击和取缔“地条钢”工作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（1）负责根据反馈情况，开展现场核查；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（2）组织专家和相关成员单位进行实地核查；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（3）及时向相关单位通报打击和取缔情况。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（1）开展全区范围内的“地条钢”大排查及重点企业抽查；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（2）对辖区使用中频炉和工频炉的企业（或个体）开展排查；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（3）及时向有关部门报告排查情况。</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九、文化和旅游事项类别（5项）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（1）负责互联网上网服务营业场所经营单位设立审批；</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（2）开展网吧经营场所巡查，对未经许可擅自从事互联网上网服务营业场所活动的查处；</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（3）负责营业性演出、娱乐场所设立的申请、审批；</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（4）对营业性演出监督管理；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（1）开展网吧经营场所巡查；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（2）发现未经许可擅自从事互联网上网服务的营业场所及时报告；</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（3）发现未经许可擅自从事娱乐经营活动行为的及时报告；</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（4）发现擅自从事营业性演出行为及时报告。</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（1）对本行政区域的旅游业发展和监督管理进行统筹协调；</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（2）对酒店、旅行社经营与服务行为监督管理；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（1）开展辖区内文化旅游市场政策宣传；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（2）协助开展旅游资源摸底、开发、保护工作；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（3）开展辖区内旅行社、酒店日常巡查，发现问题督促整改，并及时报告上级部门。</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党委宣传部：负责统筹协调“扫黄打非”工作。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教育局：负责校园“扫黄打非”宣传教育。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公安局：负责查处、收缴非法出版物，打击非法出版等违法犯罪行为。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文化体育广电和旅游局：负责对文化场所进行日常监管，发现并及时处理违规经营行为。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市场监管局：负责监管市场主体，打击无照经营和违法广告等行为。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（1）开展“扫黄打非”政策知识普及和主题宣传活动；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（2）开展排查，是否销售有宣传淫秽色情、凶杀暴力、封建迷信、宣传毒品等违禁内容的图书、音像制品、电子出版物、游戏软件，发现相关线索及时上报；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（3）开展“扫黄打非”群防群治，发动群众参与“扫黄打非”工作，鼓励群众举报。</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（1）开展文物保护的宣传教育；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（2）统筹指导文物的抢救、考古调查、勘探发掘文物修复、征集、鉴定、登编、收藏和保管、安全等工作；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（3）统筹指导推进文物普查工作，协调解决普查中的重大问题；</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（1）协助做好文物保护法律法规宣传；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（2）开展文物保护单位周边环境治理；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（3）参与文物普查工作。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（1）开展非物质文化遗产的保护、传承和管理工作；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（2）组织开展非物质文化遗产普查工作，对非物质文化遗产进行真实、系统和全面地记录，建立档案；</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（1）开展非物质文化遗产法律法规政策宣传；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（2）做好每年全国文化和自然遗产日的非遗宣传活动；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（3）协助非物质文化遗产调查、申报和保护工作。</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十、卫生健康事项类别（6项）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（2）负责职业病防治的监督管理工作，定期开展职业病预防和检测；</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（4）制定并组织实施艾滋病防治行动计划定期对艾滋病防治工作进行监督。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（1）开展职业病、传染病等疾病预防知识宣传工作；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（2）向疾病预防控制部门提供用人单位、用人规模、单位地址等涉及职业病、传染病预防的相关信息；</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（3）发现突发疾病、疫情及时上报疾控部门，做好社区防控工作；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（4）公共卫生事件解除后，帮助群众恢复正常的生产生活秩序。</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（1）建立突发公共卫生事件应急处置机制,制定突发事件应急预案，开展处置演练；</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（2）开展预防突发公共卫生事件知识宣传，加强突发事件应急处理专业队伍的建设和培训；</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（3）负责开展突发公共卫生事件的日常监测，应对突发公共卫生事件组织开展医疗卫生救治；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（4）对突发公共卫生事件开展事件原因调查。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（1）开展预防突发公共卫生事件知识宣传，制定本辖区突发事件应急预案，结合实际组织开展演练；</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（2）接到上级部门发出的突发公共卫生事件预警后，按要求采取相应的预防控制措施；</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（3）配合做好突发公共卫生事件信息的收集和报告、人员分散隔离和公共卫生措施的落实；</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（4）配合开展突发事件的前期应对，排查、上报工作。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做好基层红十字会会员发展、公益活动宣传工作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（1）负责红十字会基层组织建设工作；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（2）负责发展红十字会会员、志愿者，开展人道主义的救助活动；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（3）开展应急救护培训；</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（4）开展无偿献血活动。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（1）加强会员和志愿者的发展和管理工作，规范会员登记管理和会费收缴；</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（2）做好“5·8人道公益日”和“99公益日”等公益活动宣传工作。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（1）负责职责范围内的职业卫生、放射卫生、环境卫生、学校卫生、公共场所卫生、饮用水卫生等公共卫生的监督管理；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（2）负责采供血和临床用血质量的监督；</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（3）健全卫生健康综合监督体系；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（1）开展辖区内卫生健康法律法规宣传；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（2）发现违法问题及时上报；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（3）协助做好饮用水卫生安全巡查、学校卫生服务、非法行医和非法采供血、计划生育、职业卫生等方面的卫生计生监管工作。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做好计划生育家庭扶助工作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负责各镇、街道项目工作的开展，包括数据审核、人员培训、宣传动员、业务指导等。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（1）独生子女伤残扶助：审核社区提交的扶助对象人员名单，上报申请材料，并对业务进行指导；</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（2）独生子女死亡扶助：审核社区提交的扶助对象人员名单，上报申请材料，并对业务进行指导；</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（3）做好计划生育特殊家庭夫妻死亡后的有关善后服务，及时更新相关信息台账；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（4）统计计生特殊家庭参加城乡居民养老保险的对象，申请上报补助；</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（5）统计上报计生特殊家庭夫妻购买“家庭医生签约个性化服务包”的人员名单；</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（6）申报就医绿色通道，申请发放就诊服务卡；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（7）审核社区提交的扶助对象人员名单，上报申请材料，并对业务进行指导。</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心理健康服务建设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（1）建设心理咨询专家库；</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（2）印制心理健康宣传资料；</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（3）制定心理健康宣传规章制度；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（4）开展专项心理健康宣传活动。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（1）建设解放街道心理咨询志愿者库；</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（2）开展街道本级心理健康工作队伍建设；</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（3）发放心理健康宣传资料。</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十一、应急管理及消防事项类别（5项）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财政局、自然资源局、住房城乡建设局、交通运输局、农业农村局、卫生健康局、应急管理局、市气象局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自然资源局：负责地质灾害防治的组织、协调、指导和监督工作。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住房和城乡建设局：（1）负责建筑工地防御预警发布；（2）负责自建房屋隐患整治监测，督促检查物业小区防涝。</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农业农村局：（1）负责水位监测、工程调度，组织力量对河湖堤坝进行巡查；（2）负责抗旱应急水源、应急设施和基础设施建设；（3）及时掌握和农业洪涝、干旱受灾情况， 对农作物受灾面积、产量损失、畜牧业受灾情况等进行评估；（4）指导农业生产经营者采取防灾减灾措施，协调和发放农业救灾生产资料，帮助灾区农民尽快恢复生产。</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卫生健康局：负责灾害发生地区疾病预防控制、医疗救护和卫生监督执法。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交通运输局：负责开展救灾物资、人员运输与重要通道快速修复。</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财政局：（1）负责启动救灾资金核拨机制，预拨救灾资金；（2）会同有关部门对灾情核定情况进行清算保障经费，下达灾后恢复重建补助资金。</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市气象局：（1）负责做好气象监测和预报工作；（2）负责实施人工增雨作业。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（1）开展宣传教育，提升群众自救能力，制定应急预案和调度方案，建立辖区风险隐患点清单；</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（2）组建抢险救援力量，组织开展日常演练，做好人防、物防等准备工作；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（3）开展辖区内低洼易涝点、江河堤防、山塘水库、山洪和地质灾害危险区等风险隐患点巡查巡护、隐患排查；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（4）做好值班值守、信息报送、转发气象预警信息；</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（5）出现险情时，及时组织受灾害威胁的居民及其他人员转移到安全地带；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（6）发生灾情时，组织转移安置受灾群众，做好受灾群众生活安排，及时发放上级下拨的救助经费和物资；</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（7）组织开展灾后受灾群众的生产生活恢复工作。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（1）负责编制突发事件应急处置预案；</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（2）负责教育、培训、规划、安全生产综合监管工作；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（3）负责辖区各行业生产经营事故的统计上报工作；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（4）负责安全生产信用体系建设、安全生产隐患举报投诉查处工作；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（1）开展安全生产知识宣传普及，制定相应的生产安全事故应急救援预案，组织开展演练，协助开展生产安全事故应急救援工作；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（2）配合相关部门定期开展重点检查，着重开展 “九小场所”、农家乐、经营性自建房等风险隐患排查，推动落实生产经营单位主动自查等制度，发现安全隐患及时上报并督促整改；</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（3）安全生产事故发生后，迅速启动应急预案，并组织群众疏散撤离；</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（4）指导居民委员会开展安全生产相关工作。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公安局、民政局、财政局、应急管理局、自然资源局、消防大队、市气象局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应急管理局：（1）负责综合指导森林火灾防控工作；（2）负责牵头开展火灾预警监测和信息发布；（3）负责组织指导协调火灾扑救。</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自然资源局：（1）负责火灾预防；（2）负责防火巡护、火源管理、日常检查、宣传教育、防火设施建设和火情早期处理等；（3）落实综合防灾减灾规划相关要求，编制本行政区域森林防火规划，报本级人民政府批准后实施。</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公安局：负责火场警戒、交通疏导、治安维护、火案侦破。</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财政局：负责对森林火灾预防和扑救、增强森林防火能力所需经费给予必要保障。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消防大队：承担森林火灾扑救任务和预防相关工作。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市气象局：负责组织开展人工影响天气作业，降低森林火险等级。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（1）负责森林防火的宣传，组织参加防火救火培训，执行森林防火巡查，发现问题及时上报；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（2）制定森林防灭火应急预案，开展演练，做好值班值守；</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（3）划分网格，组建护林员队伍和防火灭火力量，储备必要的灭火物资；</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（4）发现火情，组织群众疏散撤离，立即上报火灾地点、火势大小以及是否有人被困等信息；</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（5）在火势较小、保证安全的前提下，先行组织进行初期扑救。</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（1）负责燃气安全宣传工作；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（2）建立健全燃气管理工作机制；</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（3）统筹解决燃气事业发展、加气站点等的规划布局；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（4）指导督促乡镇对燃气配送网点的经营安全监督管理、餐饮行业、居民用户使用燃气安全的隐患排查整改等；</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（1）协助做好燃气安全宣传工作；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（2）协调居民委员会和物业服务等相关单位配合燃气经营企业入户安全检查；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（4）配合开展打击非法存储、充装、运输、经营燃气等各类专项整治行动。</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（1）组织开展火灾隐患排查和宣传教育，开展消防安全检查和专项治理；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（2）组织有关部门制定整改措施，督促限期消除；</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（3）组织灭火救援；</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（1）开展有针对性的消防宣传教育，预防火灾发生，发现问题并上报；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（2）按照综合应急预案，开展消防演练；</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（3）对易发现、易处置的公共场所消防安全隐患开展日常排查，发现问题及时制止，并上报消防救援部门；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（4）发生火情及时组织群众疏散，协助灭火救援的相关工作；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（5）指导居民委员会开展群众性的消防工作。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（6）明确专员开展消防安全管理工作。</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十二、市场监管事项类别（6项）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商务局：（1）负责市场开发规划、建设；（2）负责商品交易市场商品流通的监督管理。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（1）协调农贸市场的规划、建设和管理工作；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（2）配合维护市场秩序。</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（1）开展监督预防危害消费者人身、财产安全行为的发生，及时制止危害消费者人身、财产安全的行为；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（2）受理消费者和消费者协会等组织对经营者交易行为、商品和服务质量问题的举报，及时调查处理；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（3）定期或者不定期对经营者提供的商品和服务进行抽查检验，并向社会公布抽查检验结果；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（1）开展消费者权益保护相关的法律法规和政策宣传工作；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（2）发现危害消费者权益情况及时上报，并协助上级部门化解纠纷；</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（3）协助处置市场监督领域投诉举报案件。</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（1）加强食品安全的宣传教育，普及食品安全知识；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（2）协助开展食品安全监督管理工作；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（3）开展食品摊贩集中经营区域（路段）、时段的规划工作。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（4）组织领导干部对C级主体开展包保工作，督促社区干部对D级主体开展包保工作。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教育局：负责指导中小学校掌握学生参加校外托管的情况，加强对学生的安全教育。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公安局：负责对校外托管机构的安防管理进行监管，维护托管场所周边治安。</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卫生健康局：负责对校外托管机构的生活饮用水卫生、传染病防控进行监管。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文化体育广电和旅游局：负责对校外培训机构设施生产安全、从业人员、培训内容、审核登记、资金监管方面进行监管。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市场监管局：负责依法为登记经营主体的校外托管机构核发营业执照和小餐饮登记证，对校外托管机构的食品安全进行监督管理，依法查处无营业执照经营校外托管机构。</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（1）对校外培训机构进行摸排；</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（2）配合开展政策宣传；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（3）开展安全生产检查；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（4）对发现问题及时向县有关部门汇报。</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党委政法委：负责将传销、违规直销、网络传销监管执法纳入平安建设督导事项。</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公安局：负责查处本行政区域内传销违法行为。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市场监管局：负责查处本行政区域内不构成犯罪的传销行为、违规直销等违法行为。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（1）开展打击防范传销和规范直销行为的宣传工作；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（2）发现或收到问题线索，及时上报处理；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（3）配合开展执法处置工作。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市场监管局、综合行政执法局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市场监管局：（1）在市场监管领域职责范围内，依法对商铺的无证无照经营行为和划定区域内的食品摊贩违法经营食品行为进行处罚；（2）指导乡镇（街道）协助做好食品小作坊、小餐饮和食品摊贩的食品安全监督管理工作。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综合行政执法局：负责对划定区域外的户外公共场所食品销售无证经营等行为和流动摊点占道经营的执法。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（1）配合对辖区内商铺和流动摊点经营情况进行日常巡查；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（2）发现占道经营等非法经营行为及时劝告制止，并及时上报相关部门予以查处。</w:t>
            </w:r>
          </w:p>
        </w:tc>
      </w:tr>
      <w:tr>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黑体" w:cs="Times New Roman"/>
                <w:color w:val="auto"/>
                <w:lang w:eastAsia="zh-CN" w:bidi="ar"/>
              </w:rPr>
            </w:pPr>
            <w:r>
              <w:rPr>
                <w:rStyle w:val="18"/>
                <w:rFonts w:hint="default" w:ascii="Times New Roman" w:hAnsi="Times New Roman" w:eastAsia="方正公文黑体" w:cs="Times New Roman"/>
                <w:color w:val="auto"/>
                <w:lang w:eastAsia="zh-CN" w:bidi="ar"/>
              </w:rPr>
              <w:t>十三、投资促进事项类别（2项）</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（1）统筹协调和组织推进招商引资工作；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（2）指导做好项目编制及对接洽谈工作；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（3）做好项目评审及签约和到位资金统计工作；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（4）负责招商引资项目动态管理，收集、整理、汇总招商引资工作信息，完成招商引资工作目标。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（1）做好本辖区招商引资宣传服务工作；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（2）参与涉及本辖区的招商引资项目洽谈工作；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（3）落实招商引资项目落地后期服务工作。</w:t>
            </w:r>
          </w:p>
        </w:tc>
      </w:tr>
      <w:tr>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（1）挖掘消费新热点，发放消费券；</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（2）联系统筹商家企业，组织商家开展促消费活动。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lang w:eastAsia="zh-CN" w:bidi="ar"/>
              </w:rPr>
              <w:t xml:space="preserve">       （1）宣传惠民促消费措施；</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       （2）协助开展促进消费相关活动。</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9" w:name="_Toc172077951"/>
      <w:bookmarkStart w:id="10" w:name="_Toc172077418"/>
      <w:bookmarkStart w:id="11" w:name="_Toc172077553"/>
      <w:bookmarkStart w:id="12" w:name="_Toc256000007"/>
      <w:r>
        <w:rPr>
          <w:rFonts w:hint="eastAsia" w:ascii="Times New Roman" w:hAnsi="Times New Roman" w:eastAsia="方正公文小标宋" w:cs="Times New Roman"/>
          <w:b w:val="0"/>
          <w:lang w:eastAsia="zh-CN"/>
        </w:rPr>
        <w:t>上级部门收回事项清单</w:t>
      </w:r>
      <w:bookmarkEnd w:id="9"/>
      <w:bookmarkEnd w:id="10"/>
      <w:bookmarkEnd w:id="11"/>
      <w:bookmarkEnd w:id="12"/>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承接部门及工作方式</w:t>
            </w:r>
          </w:p>
        </w:tc>
      </w:tr>
      <w:tr>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一、民生服务事项类别（12项）</w:t>
            </w:r>
          </w:p>
        </w:tc>
      </w:tr>
      <w:tr>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（1）开展收养法律法规宣传；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（2）受理申请材料、审核收养条件；</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（3）办理收养登记，发放收养登记证，管理收养档案。</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（1）核查违规领取80岁以上高龄津贴行为，对错领或者重复领取的情况及时发放告知书；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（2）追缴违规资金并上缴国库。</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承接部门：教育局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履职方式：审核幼儿园举办条件，颁发或注销办学许可证，加强日常监管，规范办学行为。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承接部门：人力资源社会保障局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履职方式：审核工伤认定申请材料，对事故现场进行调查核实，收集相关证据，依法作出认定决定。</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承接部门：人力资源社会保障局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承接部门：人力资源社会保障局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（1）开展劳动力就业失业信息采集、建立实名制数据库；</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（2）发布用工和求职信息。</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对事实无人抚养儿童、流动儿童的排查工作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履职方式：由教育局牵头主导工作，派出所和法院部门协助完成。</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开展红白事服务中心建设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履职方式：在涉及村的地方集中开展工作。</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履职方式：加强适老化改造的宣传工作，不再设立适老化改造的考核指标。</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对采取虚报、隐瞒、伪造等手段，骗取享受城乡居民最低生活保障待遇等情形的处置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承接部门：民政局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履职方式：由上级部门开展对采取虚报、隐瞒、伪造等手段，骗取享受城乡居民最低生活保障待遇等情形的处罚。</w:t>
            </w:r>
          </w:p>
        </w:tc>
      </w:tr>
      <w:tr>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二、平安法治事项类别（5项）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承接部门：公安局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履职方式：负责受理、审核和处理无犯罪记录查询申请，经核查无犯罪记录的，出具相关证明。</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承接部门：公安局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（1）开展交通安全教育；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（2）查处无牌无证、非法改装、违规安装动力装置等行为，维护交通秩序。</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承接部门：司法局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（1）指导监督法律援助工作；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（2）组织实施法律援助项目；</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（3）审核援助申请；</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（4）指派法律服务人员；</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（5）管理援助经费。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承接部门：司法局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履职方式：由司法局进行首访调研，了解企业法律状况，为企业的法律问题提供意见。</w:t>
            </w:r>
          </w:p>
        </w:tc>
      </w:tr>
      <w:tr>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三、社会管理事项类别（28项）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履职方式：受理申请、审核材料、组织考试或考核、发放证书等，确保渔业船员持证上岗。</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渔业船舶及船用产品检验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履职方式：渔业船舶登记、检验、监督管理以及船用产品检验等，确保渔业船舶安全运行。</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履职方式：审核申请材料、核发相关证书，建立登记档案，监督管理渔业船舶登记工作。</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渔业捕捞许可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（1）审核捕捞申请，发放捕捞许可证；</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（2）监管捕捞活动，控制捕捞强度，维护渔业生产秩序。</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履职方式：受理申请、审核条件、现场检查、发放许可证及后续监督管理，确保生产经营活动符合法律法规。</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（1）开展农机安全宣传教育；</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（2）指导农机驾驶培训机构规范教学，组织理论与实操培训。</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履职方式：受理申请、审核材料、查验机具，核发登记证书、号牌和行驶证等。</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履职方式：受理申请、审核材料、组织考试，核发驾驶证及办理换证、补证、注销等。</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履职方式：受理申请、审核材料、组织实地核查、公示申请信息、报请同级人民政府审批以及发放养殖证。</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（1）受理水产苗种生产申请，审核生产场地、水源、亲本来源、技术人员等条件；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（2）符合条件的发放生产许可证。</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履职方式：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（1）开展水生动物疫病监测、水产养殖病害测报，掌握疫病分布和流行态势；</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（2）制定并实施本地水生动物疫病监测计划，发布预警预报信息；</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（3）指导动植物防疫体系建设，组织监督防疫检疫工作，依法发布疫情并组织扑灭。</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履职方式：实施产地检疫、屠宰检疫，监督动物防疫条件，查处违规行为，保障动物产品安全。</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履职方式：制定实施方案，采集送检样品，汇总分析数据，报告疫情信息，提出预警建议。</w:t>
            </w:r>
          </w:p>
        </w:tc>
      </w:tr>
      <w:tr>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履职方式：受理申请并审核材料，组织现场核查，审查合格的颁发证书，不合格的书面通知并说明理由。</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履职方式：负责畜禽屠宰检疫，监督屠宰企业规范操作，严格实施入场查验、宰前检疫、同步检疫等流程。</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（1）责令关闭，没收生猪、生猪产品、屠宰工具和设备以及违法所得；</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（2）依法处以罚款。   </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履职方式：负责规模以下畜禽养殖废弃物综合利用的指导与服务，指导建设粪污处理设施，推广资源化利用技术，推进种养结合。</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渔港水域渔业船舶水上拆解活动监督管理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负责渔业船舶拆解活动的具体监管，规范拆解程序，防止报废渔船违规流入市场。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承办部门：民政局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履职方式：对违法行为进行调查核实，责令违法者支付修复费用，并依法处以罚款。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履职方式：对地名信息数据进行审核、纠错、更新，确保信息准确规范。</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承接部门：住房城乡建设局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承接部门：文体广旅局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（1）受理旅游者损害其合法权益的投诉；</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（2）制止或纠正被投诉人损害旅游者合法权益的行为；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（3）依法对旅游者与旅游经营者之间的纠纷进行调解。</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履职方式：上级部门通过多种方式了解地名命名、更名依据进行地名管理。</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承接部门：民政局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履职方式：开展不规范地名清理整治。</w:t>
            </w:r>
          </w:p>
        </w:tc>
      </w:tr>
      <w:tr>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四、社会保障事项类别（11项）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承接部门：人力资源社会保障局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承接部门：人力资源社会保障局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履职方式：调查核实违法事实，责令退回骗取资金，依法处以罚款。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承接部门：医保局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履职方式：汇总参保缴费数据，核实缴费人员信息，确保数据准确完整，并及时更新医保信息系统中的参保状态。</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承接部门：医保局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履职方式：受理参保人员的门诊费用报销申请，审核报销材料的真实性与合规性，按照医保政策进行费用核算与支付，指导定点医疗机构开展门诊费用结算工作。</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承接部门：医保局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履职方式：受理参保人员提交的报销申请材料，审核材料真实性与合规性，依据医保政策核算报销金额，并在规定时限内完成费用支付。</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承接部门：医保局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（1）受理医疗救助待遇申请并进行审核；</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（2）对符合条件的发放救助待遇。</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承接部门：医保局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开展创业担保贷款申报工作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承接部门：人力资源社会保障局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履职方式：采取多种方式提高群众认知度、知晓率，完成创业担保贷款申请工作。</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承接部门：人力资源社会保障局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履职方式：摸排了解创业实体信息、辖区劳动力就业信息。</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动态掌握辖区劳动力就业信息、创业实体信息。</w:t>
            </w:r>
          </w:p>
        </w:tc>
      </w:tr>
      <w:tr>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五、自然资源事项类别（18项）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履职方式：责令限期改正，逾期不改正的，责令缴纳复垦费，专项用于土地复垦，并依法处以罚款。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（1）组织对储备土地进行清理整治，清除垃圾杂物、杂草及违法堆放物品；</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（2）对裸露土地进行覆盖、洒水降尘等防尘处理；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（3）监督储备土地租赁单位或个人履行环境卫生责任，对违规行为进行督促整改。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（1）组织地质灾害调查评价及隐患的普查、详查、排查；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（2）指导开展群测群防、专业监测和预报预警；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（3）组织实施地质灾害工程治理。</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（1）组织地质灾害隐患排查，对违法建设引发的地质灾害隐患进行监测和治理；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（2）依法查处违法审批行为，督促相关责任人落实地质灾害防治措施。</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履职方式：责令退还非法占用的土地，限期拆除或没收违法建设的建筑物和其他设施，恢复土地原状，对符合土地利用总体规划的可并处罚款。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承接部门：生态环境局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（1）加强政策宣传；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（2）划定管护责任区，明确管护人员；</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（3）做好造林抚育、防火和病虫害防治等工作，依法查处各种破坏公益林的违法行为；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（4）做好公益林补偿资金兑现、监督。</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（1）加强巡查，及时发现违法行为；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（2）责令违法者限期在原地或异地补种，逾期不改正的，依法处以罚款。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扣留无证运输或有其他违法情形运输的木材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（1）组织监测预报，及时发布预警信息；</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（2）实施检疫监管，防止有害生物传入传出；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（3）指导防治工作，确保森林资源安全。</w:t>
            </w:r>
          </w:p>
        </w:tc>
      </w:tr>
      <w:tr>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六、生态环保事项类别（4项）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承接部门：县级人民政府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承接部门：生态环境局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履职方式：责令限期改正，并处以罚款；情节严重的，报经批准后责令停业或关闭。</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七、城乡建设事项类别（15项）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履职方式：受理、审核建设工程规划许可申请材料，发放许可证。</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（1）依据建设工程规划许可证及其附件、附图及相关政策规范，对竣工建设工程进行规划复核和确认；</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承接部门：自然资源局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承接部门：自然资源局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承接部门：住房城乡建设局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履职方式：责令限期改正，并依法处以罚款。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承接部门：住房城乡建设局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履职方式：责令限期改正，并依法处以罚款。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承接部门：住房城乡建设局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（1）组织巡查，汇总危险房屋信息；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承接部门：住房城乡建设局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履职方式：制定房屋安全管理措施，指导和监督房屋安全鉴定工作，牵头推进危房解危工作。</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承接部门：住房城乡建设局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承接部门：住房城乡建设局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承接部门：住房城乡建设局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（2）及时向社会公布监督检查情况。</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承接部门：住房城乡建设局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履职方式：负责本行政区域内工程质量监督管理工作。</w:t>
            </w:r>
          </w:p>
        </w:tc>
      </w:tr>
      <w:tr>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八、交通运输事项类别（5项）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承接部门：交通运输局（或地方行政审批部门）自治区交通运输厅（按管理职责承接）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履职方式：受理申请并审核相关材料，组织现场勘查，征求相关部门意见；依法作出审批决定并公示结果。</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在公路增设或改造平面交叉交通运输道口审批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承接部门：交通运输局（或地方行政审批部门）</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承接部门：交通运输局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承接部门：交通运输局（或地方行政审批部门）、自治区交通运输厅（按管理职责承接）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（1）受理涉路施工申请，审核设计和施工方案、技术评价报告及应急方案等材料；</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（2）组织现场勘验，征求相关部门意见；</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（3）依法作出许可决定并送达许可文书；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（4）对涉路施工活动的监督检查，制止并责令整改未按许可施工的行为。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开展货车司机、网约车司机党员信息核查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承接部门：交通运输局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履职方式：健全完善两司群体党员档案，及时采集新转入的两类群体党员信息。</w:t>
            </w:r>
          </w:p>
        </w:tc>
      </w:tr>
      <w:tr>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九、卫生健康事项类别（23项）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（1）制定免费药具服务实施方案，明确服务流程；</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（2）组织采购、存储和调拨避孕药具，确保供应；</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（3）指导基层医疗卫生机构开展宣传、咨询、发放和随访服务；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（4）监督项目实施，保障资金合理使用。</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（1）制定妇幼健康服务政策、规划和技术标准，指导妇幼健康服务体系建设，推动妇幼保健机构规范化建设；</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（2）指导医疗卫生机构开展优生优育知识宣传教育、孕产期保健、预防接种等健康服务。</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（1）受理申请并审核相关材料，组织现场检查；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（2）对符合条件的单位发放卫生许可证，对不符合条件的依法作出不予许可决定并告知理由；</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（3）开展定期和不定期监督检查，依法处置违法违规行为。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履职方式：受理个人申请，组织审批并公示，确保申报对象符合政策条件。</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（1）受理监护人报告；</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（2）按照规定进行核查、处置；</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（3）及时向乡镇卫生院或社区卫生服务中心通报有关信息。</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（1）依法开展托育机构的备案管理，督促落实卫生保健、疾病防控、安全管理等要求；</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（2）将托育机构纳入监督抽查范围，实施动态监管，依法查处违法违规行为。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履职方式：对未取得医疗机构执业许可证擅自执业或者诊所未经备案执业的，进行立案审查、调查取证、依法作出行政处罚。</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履职方式：责令停止非法执业活动，没收违法所得和药品、医疗器械，并依法处以罚款。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（1）对违法行为进行立案审查、调查取证、依法取缔，没收违法所得，并依法处罚款；</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（2）情节严重的，吊销相关许可证；</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（3）构成犯罪的，依法追究刑事责任。</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（1）指导县计划生育协会开展宣传活动，宣传计生政策、健康知识等；</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（2）组织义诊、健康讲座等活动，为群众提供服务；</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（3）关怀计生特殊家庭，开展走访慰问。</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承接部门：卫生健康局、财政局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（1）卫生健康局负责核实超领、冒领计划生育扶助资金的情况，会同财政局追回资金；</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（2）财政局负责监督资金管理，确保资金专款专用，协助追回违规资金。</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履职方式：通过明确职责、规范审批流程、强化监管和提供便捷服务等方式，严格管理出具工作，确保依法依规进行，有效遏制非法行为，保障母婴健康和人口均衡发展。</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不再开展的事项无需列明承接部门。</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对无偿献血工作的考核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承接部门：卫生健康局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履职方式：加强无偿献血的宣传工作，不再设立无偿献血的考核指标。</w:t>
            </w:r>
          </w:p>
        </w:tc>
      </w:tr>
      <w:tr>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十、应急管理及消防事项类别（28项）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承接部门：农业农村局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（1）落实水库安全运行管理，督促水库管理单位开展日常巡查、维护和安全鉴定；</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（2）落实防汛调度，制定防御洪水方案并组织实施，确保水库安全度汛。</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承接部门：市级应急管理局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履职方式：审查企业提交材料和经营场所，符合条件的核发烟花爆竹经营（批发）许可证，不符合的说明理由。</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履职方式：对加油站危险化学品、设备设施等开展安全检查，对安全隐患问题及时督促整改。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承接部门：应急管理局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（1）督促生产经营单位落实安全生产主体责任，建立健全隐患排查治理制度；</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履职方式：依法检查机构资质范围、技术服务合同、过程控制、报告公开等情况，查处违法违规行为。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承接部门：应急管理局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承接部门：应急管理局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承接部门：应急管理局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承接部门：应急管理局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（1）开展对涉及单位危险化学品生产装置、储存设施以及库存危险化学品的处置等情况核查；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（2）对未按规定报处置方案的单位进行处罚。</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承接部门：应急管理局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承接部门：应急管理局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（1）受理、审核有关申请材料；</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（2）对经营场所进行审查，对符合条件的，核发《烟花爆竹经营（零售）许可证》；对不符合条件的，说明理由。</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承接部门：应急管理局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履职方式：指导企业编制、评审预案，审核备案材料，对符合条件的予以备案。</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承接部门：消防大队</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承接部门：公安局、交通运输局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（2）交通运输局负责危险化学品道路运输、水路运输的许可以及运输工具的安全管理和监督等。</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承接部门：应急管理局、公安局、市场监督管理局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（2）公安局负责烟花爆竹公共安全管理，严格审批烟花爆竹运输许可，审查运输资质，打击非法运输行为，协助应急部门打击非法经营；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 xml:space="preserve">承接部门：应急管理局、公安局、市场监督管理局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（1）应急管理局负责烟花爆竹生产企业的安全生产监管，严格审查企业安全生产条件，督促落实安全生产责任制，规范生产流程，严查违法违规行为；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（2）公安局负责烟花爆竹公共安全管理，严格审批烟花爆竹运输许可，审查运输资质，打击非法运输行为，协助查处非法生产、经营烟花爆竹行为；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承接部门：应急管理局、财政局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电动自行车全链条整治系统录入工作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承接部门：消防大队</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履职方式：消防部门自行登录系统录入相关信息。</w:t>
            </w:r>
          </w:p>
        </w:tc>
      </w:tr>
      <w:tr>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黑体" w:cs="Times New Roman"/>
                <w:lang w:eastAsia="zh-CN" w:bidi="ar"/>
              </w:rPr>
            </w:pPr>
            <w:r>
              <w:rPr>
                <w:rStyle w:val="18"/>
                <w:rFonts w:hint="default" w:ascii="Times New Roman" w:hAnsi="Times New Roman" w:eastAsia="方正公文黑体" w:cs="Times New Roman"/>
                <w:color w:val="auto"/>
                <w:lang w:eastAsia="zh-CN" w:bidi="ar"/>
              </w:rPr>
              <w:t>十一、市场监管事项类别（7项）</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承接部门：自治区、市级市场监督管理局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承接部门：人民政府</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承接部门：市场监督管理局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（1）对特种设备生产、经营、使用单位和检验、检测机构实施监督检查，督促落实主体责任，开展隐患排查治理；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（2）对公众聚集场所的特种设备，实施重点安全监督检查；</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（3）依法查处违法违规行为，保障特种设备安全运行。</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承接部门：市场监督管理局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（1）督促使用单位落实安全责任，建立安全管理制度，配备安全管理人员，办理使用登记，及时申报定期检验；</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（2）加强对电梯维保单位的监督检查，确保维保工作落实到位。</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承接部门：市场监督管理局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（1）制定特种设备事故应急处置预案；</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（2）依法启动应急预案，采取应急处置措施；</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（3）负责现场救援协调、技术支撑。</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承接部门：市场监督管理局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（1）制定专项整治方案，明确整治重点和标准；</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（2）督促特种设备生产、使用、维保等企业和单位，落实主体责任，开展自查自纠；</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（3）组织执法检查，严查违法违规行为，并总结经验形成长效机制。</w:t>
            </w:r>
          </w:p>
        </w:tc>
      </w:tr>
      <w:tr>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公文黑体" w:cs="Times New Roman"/>
                <w:lang w:eastAsia="zh-CN" w:bidi="ar"/>
              </w:rPr>
            </w:pPr>
            <w:r>
              <w:rPr>
                <w:rFonts w:hint="default" w:ascii="Times New Roman" w:hAnsi="Times New Roman" w:eastAsia="方正公文黑体" w:cs="Times New Roman"/>
                <w:lang w:eastAsia="zh-CN"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公文仿宋" w:cs="Times New Roman"/>
                <w:lang w:eastAsia="zh-CN" w:bidi="ar"/>
              </w:rPr>
            </w:pPr>
            <w:r>
              <w:rPr>
                <w:rFonts w:hint="default" w:ascii="Times New Roman" w:hAnsi="Times New Roman" w:eastAsia="方正公文仿宋" w:cs="Times New Roman"/>
                <w:lang w:eastAsia="zh-CN" w:bidi="ar"/>
              </w:rPr>
              <w:t>承接部门：市场监督管理局</w:t>
            </w:r>
            <w:r>
              <w:rPr>
                <w:rFonts w:hint="default" w:ascii="Times New Roman" w:hAnsi="Times New Roman" w:eastAsia="方正公文仿宋" w:cs="Times New Roman"/>
                <w:lang w:eastAsia="zh-CN" w:bidi="ar"/>
              </w:rPr>
              <w:br w:type="textWrapping"/>
            </w:r>
            <w:r>
              <w:rPr>
                <w:rFonts w:hint="default" w:ascii="Times New Roman" w:hAnsi="Times New Roman" w:eastAsia="方正公文仿宋" w:cs="Times New Roman"/>
                <w:lang w:eastAsia="zh-CN" w:bidi="ar"/>
              </w:rPr>
              <w:t>履职方式：依法受理申请、审核材料、开展现场核查，并作出登记决定。</w:t>
            </w:r>
          </w:p>
        </w:tc>
      </w:tr>
    </w:tbl>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 w:name="华文琥珀">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ivaldi">
    <w:panose1 w:val="030206020505060908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Perpetua">
    <w:panose1 w:val="02020502060401020303"/>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DejaVu Math TeX Gyre">
    <w:panose1 w:val="02000503000000000000"/>
    <w:charset w:val="00"/>
    <w:family w:val="auto"/>
    <w:pitch w:val="default"/>
    <w:sig w:usb0="A10000EF" w:usb1="4201F9EE" w:usb2="02000000" w:usb3="00000000" w:csb0="60000193" w:csb1="0DD40000"/>
  </w:font>
  <w:font w:name="Bell MT">
    <w:panose1 w:val="02020503060305020303"/>
    <w:charset w:val="00"/>
    <w:family w:val="auto"/>
    <w:pitch w:val="default"/>
    <w:sig w:usb0="00000003" w:usb1="00000000" w:usb2="00000000" w:usb3="00000000" w:csb0="20000001" w:csb1="00000000"/>
  </w:font>
  <w:font w:name="Yu Gothic Medium">
    <w:panose1 w:val="020B05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Noto Sans SC Thin">
    <w:panose1 w:val="020B0200000000000000"/>
    <w:charset w:val="86"/>
    <w:family w:val="auto"/>
    <w:pitch w:val="default"/>
    <w:sig w:usb0="20000083" w:usb1="2ADF3C10" w:usb2="00000016" w:usb3="00000000" w:csb0="60060107" w:csb1="00000000"/>
  </w:font>
  <w:font w:name="MS PGothic">
    <w:panose1 w:val="020B0600070205080204"/>
    <w:charset w:val="80"/>
    <w:family w:val="auto"/>
    <w:pitch w:val="default"/>
    <w:sig w:usb0="E00002FF" w:usb1="6AC7FDFB" w:usb2="08000012" w:usb3="00000000" w:csb0="4002009F" w:csb1="DFD70000"/>
  </w:font>
  <w:font w:name="Microsoft JhengHei Light">
    <w:panose1 w:val="020B0304030504040204"/>
    <w:charset w:val="88"/>
    <w:family w:val="auto"/>
    <w:pitch w:val="default"/>
    <w:sig w:usb0="8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Tw Cen MT">
    <w:panose1 w:val="020B0602020104020603"/>
    <w:charset w:val="00"/>
    <w:family w:val="auto"/>
    <w:pitch w:val="default"/>
    <w:sig w:usb0="00000003" w:usb1="00000000" w:usb2="00000000" w:usb3="00000000" w:csb0="20000003" w:csb1="00000000"/>
  </w:font>
  <w:font w:name="Tempus Sans ITC">
    <w:panose1 w:val="04020404030D07020202"/>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Snap ITC">
    <w:panose1 w:val="04040A07060A02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51</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Zjg0Y2ZkNzkyMTFhZjExYTM2M2ZjZTAyYjhlNTEifQ=="/>
  </w:docVars>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7B12CD"/>
    <w:rsid w:val="157637A7"/>
    <w:rsid w:val="2CD13EC8"/>
    <w:rsid w:val="2DE04574"/>
    <w:rsid w:val="42D77636"/>
    <w:rsid w:val="44697EAC"/>
    <w:rsid w:val="57E6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36439</Words>
  <Characters>36829</Characters>
  <Lines>3</Lines>
  <Paragraphs>1</Paragraphs>
  <TotalTime>0</TotalTime>
  <ScaleCrop>false</ScaleCrop>
  <LinksUpToDate>false</LinksUpToDate>
  <CharactersWithSpaces>41031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沐沐</cp:lastModifiedBy>
  <dcterms:modified xsi:type="dcterms:W3CDTF">2025-07-24T08:15:17Z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2052-11.1.0.12763</vt:lpwstr>
  </property>
</Properties>
</file>