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柳北区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稻谷生产补贴政策解读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30"/>
          <w:szCs w:val="30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一、国家发放这个补贴的目的是什么？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稻谷是我国城乡居民的主要口粮品种，向稻谷种植者发放补贴，目的是保护农民种粮利益，提高农民种粮积极性，保障国家粮食安全，促进乡村振兴战略实施。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二、补贴对象是谁？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稻谷生产补贴对象为2023年种植水稻的农户（包括普通农户、大户、家庭农场、农民合作社、农业企业），且同时符合以下条件：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1.在本县内种植水稻；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2.在规定的时间内自愿申报，并填报补贴申请表，提交有关证明材料；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3.通过村、镇、县级审核，申报面积属实的。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三、农户申报面积不实一律取消补贴资格吗？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申报者必须如实填报补贴面积，不得弄虚作假。对弄虚作假、挤占、截留、挪用和套取补贴资金等违规行为，依法依规给予严肃处理。建立个人诚信记录，对骗取、挪用和套取补贴资金等行为记入个人失信记录。对失信者，视情节，取消其当年及今后两年补贴申请资格，进行全县通报，3年内不得申报我县农业农村部门的项目和各类奖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四、露天焚烧秸秆、施肥、喷药不合格也取消补贴资格吗？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是的，因露天焚烧秸秆或违规使用不合格肥料、禁限用农药等投入品，受到生态环境、农业农村等相关部门处罚的生产者，取消其当年申报补贴资格。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五、超过规定时间是否还可以补报补贴？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不可以。因为上级对补贴资金发放时间是有规定的，而且全县补贴标准需要汇总全县所有申报面积后才能测算，按测算好的补贴标准发放补贴之后，已经没有结余资金，所以无法补发补贴。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六、每亩补贴多少？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具体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补贴标准根据自治区分配下达我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资金总量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我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区核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补贴面积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总数等因素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据实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计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算确定。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Style w:val="6"/>
          <w:rFonts w:ascii="仿宋_GB2312" w:hAnsi="Times New Roman" w:eastAsia="仿宋_GB2312"/>
          <w:kern w:val="10"/>
          <w:sz w:val="32"/>
          <w:szCs w:val="32"/>
        </w:rPr>
      </w:pPr>
      <w:r>
        <w:rPr>
          <w:rStyle w:val="6"/>
          <w:rFonts w:hint="eastAsia" w:ascii="仿宋_GB2312" w:eastAsia="仿宋_GB2312"/>
          <w:kern w:val="10"/>
          <w:sz w:val="32"/>
          <w:szCs w:val="32"/>
          <w:lang w:eastAsia="zh-CN"/>
        </w:rPr>
        <w:t>补贴</w:t>
      </w:r>
      <w:r>
        <w:rPr>
          <w:rStyle w:val="6"/>
          <w:rFonts w:ascii="仿宋_GB2312" w:eastAsia="仿宋_GB2312"/>
          <w:kern w:val="10"/>
          <w:sz w:val="32"/>
          <w:szCs w:val="32"/>
        </w:rPr>
        <w:t>方案</w:t>
      </w:r>
      <w:r>
        <w:rPr>
          <w:rStyle w:val="6"/>
          <w:rFonts w:hint="eastAsia" w:ascii="仿宋_GB2312" w:eastAsia="仿宋_GB2312"/>
          <w:kern w:val="10"/>
          <w:sz w:val="32"/>
          <w:szCs w:val="32"/>
          <w:lang w:eastAsia="zh-CN"/>
        </w:rPr>
        <w:t>：</w:t>
      </w:r>
      <w:r>
        <w:rPr>
          <w:rStyle w:val="6"/>
          <w:rFonts w:ascii="仿宋_GB2312" w:hAnsi="Times New Roman" w:eastAsia="仿宋_GB2312"/>
          <w:kern w:val="10"/>
          <w:sz w:val="32"/>
          <w:szCs w:val="32"/>
        </w:rPr>
        <w:t>采用统一补贴标准方式。全</w:t>
      </w: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eastAsia="zh-CN"/>
        </w:rPr>
        <w:t>镇</w:t>
      </w:r>
      <w:r>
        <w:rPr>
          <w:rStyle w:val="6"/>
          <w:rFonts w:ascii="仿宋_GB2312" w:hAnsi="Times New Roman" w:eastAsia="仿宋_GB2312"/>
          <w:kern w:val="10"/>
          <w:sz w:val="32"/>
          <w:szCs w:val="32"/>
        </w:rPr>
        <w:t>（</w:t>
      </w: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eastAsia="zh-CN"/>
        </w:rPr>
        <w:t>涉农街道办</w:t>
      </w:r>
      <w:r>
        <w:rPr>
          <w:rStyle w:val="6"/>
          <w:rFonts w:ascii="仿宋_GB2312" w:hAnsi="Times New Roman" w:eastAsia="仿宋_GB2312"/>
          <w:kern w:val="10"/>
          <w:sz w:val="32"/>
          <w:szCs w:val="32"/>
        </w:rPr>
        <w:t>）统一每亩补贴标准，按照以下方法测算补贴标准和计算生产者补贴面积。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Style w:val="6"/>
          <w:rFonts w:ascii="仿宋_GB2312" w:hAnsi="Times New Roman" w:eastAsia="仿宋_GB2312"/>
          <w:kern w:val="10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eastAsia="zh-CN"/>
        </w:rPr>
        <w:t>（</w:t>
      </w: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val="en-US" w:eastAsia="zh-CN"/>
        </w:rPr>
        <w:t>1</w:t>
      </w: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eastAsia="zh-CN"/>
        </w:rPr>
        <w:t>）</w:t>
      </w:r>
      <w:r>
        <w:rPr>
          <w:rStyle w:val="6"/>
          <w:rFonts w:ascii="仿宋_GB2312" w:hAnsi="Times New Roman" w:eastAsia="仿宋_GB2312"/>
          <w:kern w:val="10"/>
          <w:sz w:val="32"/>
          <w:szCs w:val="32"/>
        </w:rPr>
        <w:t>测算每亩补贴标准公式：每亩补贴标准=（自治区下达补贴资金总额+上年结余资金）÷（全县核实的一季早稻面积+中稻面积+一季晚稻面积+种植双季稻稻田面积×2×1.5）。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Style w:val="6"/>
          <w:rFonts w:ascii="仿宋_GB2312" w:hAnsi="Times New Roman" w:eastAsia="仿宋_GB2312"/>
          <w:kern w:val="10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eastAsia="zh-CN"/>
        </w:rPr>
        <w:t>（</w:t>
      </w: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val="en-US" w:eastAsia="zh-CN"/>
        </w:rPr>
        <w:t>2</w:t>
      </w: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eastAsia="zh-CN"/>
        </w:rPr>
        <w:t>）</w:t>
      </w:r>
      <w:r>
        <w:rPr>
          <w:rStyle w:val="6"/>
          <w:rFonts w:ascii="仿宋_GB2312" w:hAnsi="Times New Roman" w:eastAsia="仿宋_GB2312"/>
          <w:kern w:val="10"/>
          <w:sz w:val="32"/>
          <w:szCs w:val="32"/>
        </w:rPr>
        <w:t>计算生产者补贴面积方法：种植单季稻按实际种植面积计算；种植双季稻的，按双季稻面积（复种）的1.5倍计算补贴面积。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Style w:val="6"/>
          <w:rFonts w:ascii="仿宋_GB2312" w:hAnsi="Times New Roman" w:eastAsia="仿宋_GB2312"/>
          <w:kern w:val="10"/>
          <w:sz w:val="32"/>
          <w:szCs w:val="32"/>
        </w:rPr>
      </w:pP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eastAsia="zh-CN"/>
        </w:rPr>
        <w:t>（</w:t>
      </w: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val="en-US" w:eastAsia="zh-CN"/>
        </w:rPr>
        <w:t>3</w:t>
      </w:r>
      <w:r>
        <w:rPr>
          <w:rStyle w:val="6"/>
          <w:rFonts w:hint="eastAsia" w:ascii="仿宋_GB2312" w:hAnsi="Times New Roman" w:eastAsia="仿宋_GB2312"/>
          <w:kern w:val="10"/>
          <w:sz w:val="32"/>
          <w:szCs w:val="32"/>
          <w:lang w:eastAsia="zh-CN"/>
        </w:rPr>
        <w:t>）</w:t>
      </w:r>
      <w:r>
        <w:rPr>
          <w:rStyle w:val="6"/>
          <w:rFonts w:ascii="仿宋_GB2312" w:hAnsi="Times New Roman" w:eastAsia="仿宋_GB2312"/>
          <w:kern w:val="10"/>
          <w:sz w:val="32"/>
          <w:szCs w:val="32"/>
        </w:rPr>
        <w:t>每亩补贴控制在300元以内。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七、生产者如何申报补贴？ 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稻谷生产补贴采取自愿申报制，稻谷生产者向村委提出申请（其中种植大户、家庭农场、农民合作社、农业企业要同时提供相应的证明材料），由村委审核、汇总、盖章后统一向当地镇政府申报。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八、申报面积如何审核？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645"/>
        <w:textAlignment w:val="baseline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镇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（涉农街道办）</w:t>
      </w:r>
      <w:r>
        <w:rPr>
          <w:rFonts w:hint="eastAsia" w:ascii="仿宋_GB2312" w:eastAsia="仿宋_GB2312"/>
          <w:color w:val="auto"/>
          <w:sz w:val="32"/>
          <w:szCs w:val="32"/>
        </w:rPr>
        <w:t>负责收集汇总各申报对象材料（包括农户姓名或单位名称、补贴面积、水稻种植地点等内容），组织工作人员进行实地审核，召开补贴面积审核会议（留存审核、会议记录等相关材料），在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color w:val="auto"/>
          <w:sz w:val="32"/>
          <w:szCs w:val="32"/>
        </w:rPr>
        <w:t>镇政府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（涉农街道办）</w:t>
      </w:r>
      <w:r>
        <w:rPr>
          <w:rFonts w:hint="eastAsia" w:ascii="仿宋_GB2312" w:eastAsia="仿宋_GB2312"/>
          <w:color w:val="auto"/>
          <w:sz w:val="32"/>
          <w:szCs w:val="32"/>
        </w:rPr>
        <w:t>、村委、自然村（屯）同步公示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天。公示期间出现的异议，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镇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（涉农街道办）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应</w:t>
      </w:r>
      <w:r>
        <w:rPr>
          <w:rFonts w:hint="eastAsia" w:ascii="仿宋_GB2312" w:eastAsia="仿宋_GB2312"/>
          <w:color w:val="auto"/>
          <w:sz w:val="32"/>
          <w:szCs w:val="32"/>
        </w:rPr>
        <w:t>及时进行核实和修正，必要时要进行二次公示。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公示无异议后，镇政府对补贴申报、审核情况进行汇总，并以正式文件呈报县级财政、农业农村部门。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 xml:space="preserve">由县级农业农村部门牵头，会同县级财政部门和镇政府共同开展抽查核验工作，对每个镇随机抽取1—2村，每个村随机抽5 —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0个农户进行核验。此外对种植大户、农民合作社列为重点必查对象。若发现问题，要及时通知镇重新核实、公示，经查对存在弄虚作假行为的申报对象，进行通报和处罚。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九、既是合作社成员，又是种植大户，如何申报？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以合作社成员名义申报或以种植大户名义申报都可以。但同一地块只能领取一次补贴，不得重复领取补贴。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十、以什么方式将补贴资金发放到生产者？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outlineLvl w:val="9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区级财政部门或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</w:rPr>
        <w:t>镇财政所</w:t>
      </w:r>
      <w:r>
        <w:rPr>
          <w:rFonts w:hint="eastAsia" w:ascii="仿宋_GB2312" w:eastAsia="仿宋_GB2312"/>
          <w:color w:val="auto"/>
          <w:kern w:val="0"/>
          <w:sz w:val="32"/>
          <w:szCs w:val="32"/>
          <w:highlight w:val="none"/>
          <w:lang w:eastAsia="zh-CN"/>
        </w:rPr>
        <w:t>收到补贴资金后，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highlight w:val="none"/>
        </w:rPr>
        <w:t>及时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“一卡通”管理系统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highlight w:val="none"/>
        </w:rPr>
        <w:t>将补贴款发放到补贴对象的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“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一卡通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”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eastAsia="zh-CN"/>
        </w:rPr>
        <w:t>银行</w:t>
      </w:r>
      <w:r>
        <w:rPr>
          <w:rFonts w:hint="eastAsia" w:ascii="仿宋_GB2312" w:hAnsi="Calibri" w:eastAsia="仿宋_GB2312" w:cs="仿宋_GB2312"/>
          <w:color w:val="auto"/>
          <w:kern w:val="0"/>
          <w:sz w:val="32"/>
          <w:szCs w:val="32"/>
          <w:highlight w:val="none"/>
        </w:rPr>
        <w:t>账户。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十一、生产者申报补贴需要提交什么材料？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生产者除了填报补贴申报表外，还需提交以下材料：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（一）普通农户。土地确权登记证；仍未发证的和代耕他人稻田的，出具有所在村的村民证明人签字、村委会审核意见和盖章的证明。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（二）种粮大户（家庭农场）。耕地租赁合同；没有合同的，要单独出具有所在村的村民证明人签字、村委会审核意见和盖章的证明。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农民合作社。登记注册营业执照、成员（工商登记在册的，有工商局盖章）清单及成员的耕地（水田）及种植水稻面积、合作社租赁耕地的合同、农资采购凭证和社员分配档案。成员中存在租赁耕地的，要提供租赁合同和村委盖章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（四）农业企业。营业执照、租赁耕地的合同、农资采购凭证、雇佣工人工资发放凭证等。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十二、哪些行为属于违反补贴政策规定的行为？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（一）编造、伪造虚假村组、农户姓名，签订虚假土地租赁合同，虚报、冒领补贴资金的；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（二）审核把关不严，造成农户虚报、多报补贴面积的；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（三）村组或其他组织及个人集中填报申报表，重复领取补贴资金的；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（四）用补贴资金直接抵扣农户贷款、抵缴其他费用或变相抵扣挪作他用的；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（五）截留、挤占、挪用补贴资金的；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（六）农民群众反映的问题未得到及时处理的；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（七）未按要求公示农户补贴面积、公告补贴标准的。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十三、对违纪违规的行为如何处罚？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任何地方、单位和个人不得虚报补贴面积，不得套取、挤占、挪用补贴资金，不得用补贴资金抵扣各种税费、债务和欠款，出现违纪违规行为的，除追回补贴资金外，还将对有关地方、单位的负责人和责任人进行问责，并予以全县通报。违纪违规行为特别严重的相关人员，将移送司法机关依法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十四、发现问题如何举报？接到举报如何处理?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从自治区到村委会都设立有举报电话和举报信箱。在稻谷生产补贴项目实施过程中，发现有违纪违规行为的任何单位和个人，都有权依据事实向有关主管部门举报，举报人受到法律保护。自治区农业农村厅举报电话：0771-2182757，自治区财政厅举报电话：0771-5331769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2024-05-22T09:18:26Z</dcterms:created>
  <dc:creator>Administrator</dc:creator>
  <cp:lastModifiedBy>Administrator</cp:lastModifiedBy>
  <dcterms:modified xsi:type="dcterms:W3CDTF">2024-05-22T09:23:38Z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