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D70A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000000"/>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3E7E3E6A">
      <w:pPr>
        <w:pStyle w:val="3"/>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jc w:val="center"/>
        <w:textAlignment w:val="auto"/>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u w:val="none"/>
          <w:lang w:val="en-US"/>
        </w:rPr>
        <w:t>行政处罚</w:t>
      </w:r>
      <w:r>
        <w:rPr>
          <w:rFonts w:hint="eastAsia" w:hAnsi="方正小标宋简体" w:eastAsia="方正小标宋简体" w:cs="方正小标宋简体"/>
          <w:color w:val="auto"/>
          <w:sz w:val="44"/>
          <w:szCs w:val="44"/>
          <w:u w:val="none"/>
          <w:lang w:val="en-US" w:eastAsia="zh-Hans"/>
        </w:rPr>
        <w:t>决定</w:t>
      </w:r>
      <w:r>
        <w:rPr>
          <w:rFonts w:hint="eastAsia" w:hAnsi="方正小标宋简体" w:eastAsia="方正小标宋简体" w:cs="方正小标宋简体"/>
          <w:color w:val="auto"/>
          <w:sz w:val="44"/>
          <w:szCs w:val="44"/>
          <w:u w:val="none"/>
          <w:lang w:val="en-US"/>
        </w:rPr>
        <w:t>书</w:t>
      </w:r>
      <w:bookmarkEnd w:id="1"/>
    </w:p>
    <w:p w14:paraId="543CBB70">
      <w:pPr>
        <w:keepNext w:val="0"/>
        <w:keepLines w:val="0"/>
        <w:pageBreakBefore w:val="0"/>
        <w:widowControl/>
        <w:kinsoku/>
        <w:wordWrap/>
        <w:overflowPunct/>
        <w:topLinePunct w:val="0"/>
        <w:bidi w:val="0"/>
        <w:snapToGrid w:val="0"/>
        <w:spacing w:line="520" w:lineRule="exact"/>
        <w:ind w:right="55"/>
        <w:jc w:val="center"/>
        <w:outlineLvl w:val="1"/>
        <w:rPr>
          <w:rFonts w:hint="default" w:ascii="Times New Roman" w:hAnsi="Times New Roman" w:eastAsia="仿宋_GB2312" w:cs="Times New Roman"/>
          <w:color w:val="auto"/>
          <w:sz w:val="32"/>
          <w:szCs w:val="32"/>
          <w:u w:val="none"/>
        </w:rPr>
      </w:pPr>
      <w:bookmarkStart w:id="2" w:name="tAj_wh"/>
      <w:r>
        <w:rPr>
          <w:rFonts w:hint="default" w:ascii="Times New Roman" w:hAnsi="Times New Roman" w:eastAsia="仿宋_GB2312" w:cs="Times New Roman"/>
          <w:color w:val="auto"/>
          <w:sz w:val="32"/>
          <w:szCs w:val="32"/>
          <w:u w:val="none"/>
        </w:rPr>
        <w:t>柳北市监处罚〔2026〕</w:t>
      </w:r>
      <w:r>
        <w:rPr>
          <w:rFonts w:hint="eastAsia" w:ascii="Times New Roman" w:hAnsi="Times New Roman" w:eastAsia="仿宋_GB2312" w:cs="Times New Roman"/>
          <w:color w:val="auto"/>
          <w:sz w:val="32"/>
          <w:szCs w:val="32"/>
          <w:u w:val="none"/>
          <w:lang w:val="en-US" w:eastAsia="zh-CN"/>
        </w:rPr>
        <w:t>127</w:t>
      </w:r>
      <w:r>
        <w:rPr>
          <w:rFonts w:hint="default" w:ascii="Times New Roman" w:hAnsi="Times New Roman" w:eastAsia="仿宋_GB2312" w:cs="Times New Roman"/>
          <w:color w:val="auto"/>
          <w:sz w:val="32"/>
          <w:szCs w:val="32"/>
          <w:u w:val="none"/>
        </w:rPr>
        <w:t>号</w:t>
      </w:r>
      <w:bookmarkEnd w:id="2"/>
    </w:p>
    <w:p w14:paraId="176F7B4E">
      <w:pPr>
        <w:pStyle w:val="2"/>
        <w:rPr>
          <w:rFonts w:hint="default" w:ascii="Times New Roman" w:hAnsi="Times New Roman" w:cs="Times New Roman"/>
          <w:color w:val="auto"/>
        </w:rPr>
      </w:pPr>
    </w:p>
    <w:p w14:paraId="353AA26D">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u w:val="none"/>
          <w:lang w:eastAsia="zh-CN"/>
        </w:rPr>
        <w:t>当事人：</w:t>
      </w:r>
      <w:r>
        <w:rPr>
          <w:rFonts w:hint="default" w:ascii="Times New Roman" w:hAnsi="Times New Roman" w:eastAsia="仿宋_GB2312" w:cs="Times New Roman"/>
          <w:color w:val="auto"/>
          <w:sz w:val="32"/>
          <w:szCs w:val="32"/>
          <w:u w:val="none"/>
          <w:lang w:val="en-US" w:eastAsia="zh-CN"/>
        </w:rPr>
        <w:t>柳州市柳北区斑斓心食品店（个体工商户）</w:t>
      </w:r>
    </w:p>
    <w:p w14:paraId="0E833B58">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主体资格证照名称：</w:t>
      </w:r>
      <w:r>
        <w:rPr>
          <w:rFonts w:hint="default" w:ascii="Times New Roman" w:hAnsi="Times New Roman" w:eastAsia="仿宋_GB2312" w:cs="Times New Roman"/>
          <w:b w:val="0"/>
          <w:bCs w:val="0"/>
          <w:color w:val="auto"/>
          <w:sz w:val="32"/>
          <w:szCs w:val="32"/>
          <w:u w:val="none"/>
          <w:lang w:val="en-US" w:eastAsia="zh-CN"/>
        </w:rPr>
        <w:t>营业执照</w:t>
      </w:r>
    </w:p>
    <w:p w14:paraId="18B6E025">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eastAsia="zh-CN"/>
        </w:rPr>
        <w:t>统一社会信用代码</w:t>
      </w:r>
      <w:r>
        <w:rPr>
          <w:rFonts w:hint="default" w:ascii="Times New Roman" w:hAnsi="Times New Roman" w:eastAsia="仿宋_GB2312" w:cs="Times New Roman"/>
          <w:color w:val="auto"/>
          <w:sz w:val="32"/>
          <w:szCs w:val="32"/>
          <w:u w:val="none"/>
          <w:lang w:val="en-US" w:eastAsia="zh-CN"/>
        </w:rPr>
        <w:t>：92450205MAE1A26NXD</w:t>
      </w:r>
    </w:p>
    <w:p w14:paraId="02E04427">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经营场所：柳州市柳北区北站路122号（向阳商店）第2门面</w:t>
      </w:r>
    </w:p>
    <w:p w14:paraId="31EBA415">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经营者：韦苗苗</w:t>
      </w:r>
    </w:p>
    <w:p w14:paraId="35DE18AC">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身份证</w:t>
      </w:r>
      <w:r>
        <w:rPr>
          <w:rFonts w:hint="default" w:ascii="Times New Roman" w:hAnsi="Times New Roman" w:eastAsia="仿宋_GB2312" w:cs="Times New Roman"/>
          <w:b w:val="0"/>
          <w:bCs w:val="0"/>
          <w:color w:val="auto"/>
          <w:sz w:val="32"/>
          <w:szCs w:val="32"/>
          <w:u w:val="none"/>
          <w:lang w:val="en-US" w:eastAsia="zh-CN"/>
        </w:rPr>
        <w:t>件</w:t>
      </w:r>
      <w:r>
        <w:rPr>
          <w:rFonts w:hint="default" w:ascii="Times New Roman" w:hAnsi="Times New Roman" w:eastAsia="仿宋_GB2312" w:cs="Times New Roman"/>
          <w:b w:val="0"/>
          <w:bCs w:val="0"/>
          <w:color w:val="auto"/>
          <w:sz w:val="32"/>
          <w:szCs w:val="32"/>
          <w:u w:val="none"/>
          <w:lang w:eastAsia="zh-CN"/>
        </w:rPr>
        <w:t>号码：</w:t>
      </w:r>
      <w:r>
        <w:rPr>
          <w:rFonts w:hint="eastAsia" w:ascii="Times New Roman" w:hAnsi="Times New Roman" w:eastAsia="仿宋_GB2312" w:cs="Times New Roman"/>
          <w:color w:val="auto"/>
          <w:sz w:val="32"/>
          <w:szCs w:val="32"/>
          <w:u w:val="none"/>
          <w:lang w:val="en-US" w:eastAsia="zh-CN"/>
        </w:rPr>
        <w:t>*</w:t>
      </w:r>
    </w:p>
    <w:p w14:paraId="379B217A">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lang w:val="en-US" w:eastAsia="zh-CN"/>
        </w:rPr>
      </w:pPr>
    </w:p>
    <w:p w14:paraId="28C2A71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2026年6月9日，广西华测检测认证有限公司对当事人当天入网经营的斑斓馒头（订单生成日期：2026年6月9日）进行抽样检验。2026年6月30日我局收到广西华测检测认证有限公司出具的编号为N</w:t>
      </w:r>
      <w:r>
        <w:rPr>
          <w:rFonts w:hint="default" w:ascii="Times New Roman" w:hAnsi="Times New Roman" w:eastAsia="仿宋_GB2312" w:cs="Times New Roman"/>
          <w:color w:val="auto"/>
          <w:sz w:val="32"/>
          <w:szCs w:val="32"/>
          <w:highlight w:val="none"/>
          <w:u w:val="single"/>
          <w:lang w:val="en-US" w:eastAsia="zh-CN"/>
        </w:rPr>
        <w:t>o</w:t>
      </w:r>
      <w:r>
        <w:rPr>
          <w:rFonts w:hint="default" w:ascii="Times New Roman" w:hAnsi="Times New Roman" w:eastAsia="仿宋_GB2312" w:cs="Times New Roman"/>
          <w:color w:val="auto"/>
          <w:sz w:val="32"/>
          <w:szCs w:val="32"/>
          <w:highlight w:val="none"/>
          <w:u w:val="none"/>
          <w:lang w:val="en-US" w:eastAsia="zh-CN"/>
        </w:rPr>
        <w:t>:A2260474114102002C的《检验报告》，检验结论为不合格。我局执法人员于2026年7月3日向当事人送达上述《检验报告》及《食品安全抽样检验结果通知书》，并对当事人经营场所进行现场检查，经检查，上述斑斓馒头已无在售及库存，执法人员在当事人食品加工区域发现含亮蓝配料的复配着色剂，对该复配着色剂实施扣押的行政强制措施。我局于2026年7月10日对当事人涉嫌经营超范围使用食品添加剂的食品的行为进行立案调查。</w:t>
      </w:r>
    </w:p>
    <w:p w14:paraId="1947F3E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经查实，当事人于2026年6月9日制作了16个斑斓馒头，网店销售价为5.8元/个，除1个斑斓馒头被经营者食用外，其余15个斑斓馒头全部通过网店售完。其中12个馒头销售给广西华测检测认证有限公司的工作人员抽样送检，获利为37.94元；另外3个斑斓馒头销售给普通消费者，获利为9.14元。上述斑斓馒头经广西华测检测认证有限公司抽样检验，检验结论：经抽样检验，亮蓝项目不符合GB 2760-2024《食品安全国家标准  食品添加剂使用标准》要求，检验结论为不合格。上述斑斓馒头货值金额为87元，违法所得为47.08元。</w:t>
      </w:r>
    </w:p>
    <w:p w14:paraId="590AD5A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当事人在采购上述斑斓馒头的原料时未查验食品合格证明文件及部分供货商的资质证明。</w:t>
      </w:r>
    </w:p>
    <w:p w14:paraId="3731508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上述事实，主要有以下证据证明：</w:t>
      </w:r>
    </w:p>
    <w:p w14:paraId="7623AB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1.《营业执照》及《广西壮族自治区小餐饮登记证》复印件各1份，经营者和受委托人的身份证复印件各1份，授权委托书1份，证明当事人的主体资格、经营者和受委托人的身份信息。</w:t>
      </w:r>
    </w:p>
    <w:p w14:paraId="4BDCFA6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现场笔录》1份，《实施行政强制措施决定书》《财物清单》各1份，证据提取单11份，《询问笔录》1份，《检验报告》1份，《食品安全抽样检验结果通知书》1份，《食品安全抽样检验抽样单（非食用农产品）》1份，《交易详情》截图打印件</w:t>
      </w:r>
      <w:r>
        <w:rPr>
          <w:rFonts w:hint="eastAsia" w:ascii="Times New Roman" w:hAnsi="Times New Roman" w:eastAsia="仿宋_GB2312" w:cs="Times New Roman"/>
          <w:color w:val="auto"/>
          <w:sz w:val="32"/>
          <w:szCs w:val="32"/>
          <w:highlight w:val="none"/>
          <w:u w:val="none"/>
          <w:lang w:val="en-US" w:eastAsia="zh-CN"/>
        </w:rPr>
        <w:t>8</w:t>
      </w:r>
      <w:r>
        <w:rPr>
          <w:rFonts w:hint="default" w:ascii="Times New Roman" w:hAnsi="Times New Roman" w:eastAsia="仿宋_GB2312" w:cs="Times New Roman"/>
          <w:color w:val="auto"/>
          <w:sz w:val="32"/>
          <w:szCs w:val="32"/>
          <w:highlight w:val="none"/>
          <w:u w:val="none"/>
          <w:lang w:val="en-US" w:eastAsia="zh-CN"/>
        </w:rPr>
        <w:t>份，账单详情1份，《营业执照》复印件2份，送货单1份，证明当事人存在经营亮蓝项目不符合GB 2760-2024《食品安全国家标准 食品添加剂使用标准》要求的斑斓馒头</w:t>
      </w:r>
      <w:r>
        <w:rPr>
          <w:rFonts w:hint="eastAsia" w:ascii="Times New Roman" w:hAnsi="Times New Roman" w:eastAsia="仿宋_GB2312" w:cs="Times New Roman"/>
          <w:color w:val="auto"/>
          <w:sz w:val="32"/>
          <w:szCs w:val="32"/>
          <w:highlight w:val="none"/>
          <w:u w:val="none"/>
          <w:lang w:val="en-US" w:eastAsia="zh-CN"/>
        </w:rPr>
        <w:t>，以</w:t>
      </w:r>
      <w:r>
        <w:rPr>
          <w:rFonts w:hint="default" w:ascii="Times New Roman" w:hAnsi="Times New Roman" w:eastAsia="仿宋_GB2312" w:cs="Times New Roman"/>
          <w:color w:val="auto"/>
          <w:sz w:val="32"/>
          <w:szCs w:val="32"/>
          <w:highlight w:val="none"/>
          <w:u w:val="none"/>
          <w:lang w:val="en-US" w:eastAsia="zh-CN"/>
        </w:rPr>
        <w:t>及采购上述斑斓馒头的原料时未查验食品合格证明文件及部分供货商的资质证明的事实。</w:t>
      </w:r>
    </w:p>
    <w:p w14:paraId="30F311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以上证据均由受委托人</w:t>
      </w:r>
      <w:r>
        <w:rPr>
          <w:rFonts w:hint="eastAsia" w:ascii="Times New Roman" w:hAnsi="Times New Roman" w:eastAsia="仿宋_GB2312" w:cs="Times New Roman"/>
          <w:color w:val="auto"/>
          <w:sz w:val="32"/>
          <w:szCs w:val="32"/>
          <w:highlight w:val="none"/>
          <w:u w:val="none"/>
          <w:lang w:val="en-US" w:eastAsia="zh-CN"/>
        </w:rPr>
        <w:t>及相关证明人</w:t>
      </w:r>
      <w:r>
        <w:rPr>
          <w:rFonts w:hint="default" w:ascii="Times New Roman" w:hAnsi="Times New Roman" w:eastAsia="仿宋_GB2312" w:cs="Times New Roman"/>
          <w:color w:val="auto"/>
          <w:sz w:val="32"/>
          <w:szCs w:val="32"/>
          <w:highlight w:val="none"/>
          <w:u w:val="none"/>
          <w:lang w:val="en-US" w:eastAsia="zh-CN"/>
        </w:rPr>
        <w:t>签名认可。</w:t>
      </w:r>
    </w:p>
    <w:p w14:paraId="7BD6FE4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我局于2026年9月17日向当事人送达了《行政处罚告知书》（柳北市监罚告〔2026〕111号），告知当事人我局拟作出行政处罚的事实、理由、依据、处罚内容及享有的权利。当事人在法定期限内未提出陈述、申辩。</w:t>
      </w:r>
    </w:p>
    <w:p w14:paraId="6989AA3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bookmarkStart w:id="3" w:name="OLE_LINK5"/>
      <w:r>
        <w:rPr>
          <w:rFonts w:hint="default" w:ascii="Times New Roman" w:hAnsi="Times New Roman" w:eastAsia="仿宋_GB2312" w:cs="Times New Roman"/>
          <w:color w:val="auto"/>
          <w:sz w:val="32"/>
          <w:szCs w:val="32"/>
          <w:highlight w:val="none"/>
          <w:u w:val="none"/>
          <w:lang w:val="en-US" w:eastAsia="zh-CN"/>
        </w:rPr>
        <w:t>当事人在采购上述斑斓馒头的原料时未查验食品合格证明文件及部分供货商的资质证明的行为，违反了《广西壮族自治区食品小作坊小餐饮和食品摊贩管理条例》第二十一条第一款第一项“小餐饮经营活动应当遵守下列规定：（一）采购食品原料、食品添加剂及食品相关产品，应当查验供货者的许可证和食品出厂检验合格证或者其他合格证明，其来源明确并符合有关食品安全标准”的规定，属于未按规定履行进货查验义务的行为。</w:t>
      </w:r>
    </w:p>
    <w:p w14:paraId="6DB2A8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当事人经营上述斑斓馒头的行为，违反了《广西壮族自治区食品小作坊小餐饮和食品摊贩管理条例》第二十二条“小餐饮经营活动不得有本条例第十五条规定的行为”、　第十五条第一款第三项“食品小作坊不得有下列行为：（三）在食品中添加食品添加剂以外的化学物质和其他可能危害人体健康的物质，或者生产经营超范围、超限量使用食品添加剂的食品；”的规定，属于经营超范围使用食品添加剂的食品的行为。本案货值金额为87元，违法所得为47.08元。</w:t>
      </w:r>
    </w:p>
    <w:bookmarkEnd w:id="3"/>
    <w:p w14:paraId="76E2811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经营的上述斑斓馒头货值金额较低，未造成食品安全事故等人身危害后果，且在案件调查过程中积极配合我局调查，如实陈述违法事实并主动提供相关证据材料，依据《中华人民共和国行政处罚法》第五条第二款“ 设定和实施行政处罚必须以事实为依据，与违法行为的事实、性质、情节以及社会危害程度相当。”、第六条“实施行政处罚，纠正违法行为，应当坚持处罚与教育相结合，教育公民、法人或者其他组织自觉守法。”，并参照《关于规范市场监督管理行政处罚裁量权的指导意见》第十四条第一款第二项“积极配合市场监管部门调查并主动提供证据材料的；”《广西壮族自治区市场监督管理行政处罚裁量权适用规定》第十二条第一款第二项“有下列情形之一的，可以依法从轻或者减轻行政处罚：（二）积极配合市场监管部门调查并主动提供证据材料的；”，</w:t>
      </w:r>
      <w:r>
        <w:rPr>
          <w:rFonts w:hint="default" w:ascii="Times New Roman" w:hAnsi="Times New Roman" w:eastAsia="仿宋_GB2312" w:cs="Times New Roman"/>
          <w:color w:val="auto"/>
          <w:sz w:val="32"/>
          <w:szCs w:val="32"/>
          <w:highlight w:val="none"/>
          <w:u w:val="none"/>
          <w:lang w:val="zh-CN" w:eastAsia="zh-CN"/>
        </w:rPr>
        <w:t>我局决定</w:t>
      </w:r>
      <w:r>
        <w:rPr>
          <w:rFonts w:hint="default" w:ascii="Times New Roman" w:hAnsi="Times New Roman" w:eastAsia="仿宋_GB2312" w:cs="Times New Roman"/>
          <w:color w:val="auto"/>
          <w:sz w:val="32"/>
          <w:szCs w:val="32"/>
          <w:highlight w:val="none"/>
          <w:u w:val="none"/>
          <w:lang w:val="en-US" w:eastAsia="zh-CN"/>
        </w:rPr>
        <w:t>对当事人从轻行政处罚。</w:t>
      </w:r>
    </w:p>
    <w:p w14:paraId="0AFA2B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对于当事人未按规定履行进货查验义务的行为，依据《广西壮族自治区食品小作坊小餐饮和食品摊贩管理条例》第三十九条第一款第三项“有下列情形之一的，由市场监督管理部门予以警告，责令限期改正；逾期不改正的，处一千元以下罚款：（三）违反本条例第十三条第一款、第二十一条规定，生产经营活动不符合要求的。”的规定，我局决定责令当事人立即改正该违法行为，并给予警告的行政处罚。</w:t>
      </w:r>
    </w:p>
    <w:p w14:paraId="102C515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对于当事人经营超范围使用食品添加剂的食品的行为，依据《中华人民共和国行政处罚法》第二十八条第一款“行政机关实施行政处罚时，应当责令当事人改正或者限期改正违法行为。”和《广西壮族自治区食品小作坊小餐饮和食品摊贩管理条例》第四十一条“有本条例第二十二条规定的禁止行为之一的，由市场监督管理部门处二千元以上二万元以下罚款；情节严重的，吊销小餐饮登记证；造成食品安全事故的，还应当没收违法所得和违法经营的食品以及用于违法经营的工具、设备、原料等物品。”的规定，我局决定责令当事人立即改正该违法行为，并给予罚款2000元的行政处罚。</w:t>
      </w:r>
    </w:p>
    <w:p w14:paraId="0C4AD7D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综上所述，我局决定责令当事人立即改正上述违法行为，并给予以下行政处罚：</w:t>
      </w:r>
    </w:p>
    <w:p w14:paraId="4438ED7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1.警告；</w:t>
      </w:r>
    </w:p>
    <w:p w14:paraId="6441CC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2.罚款2000元。</w:t>
      </w:r>
    </w:p>
    <w:p w14:paraId="05F69D9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应自接到本行政处罚决定书之日起十五日内，凭《广西壮族自治区非税收入电子缴款通知书》到中国建设银行或柳州银行缴纳上述款项（附言备注20位缴款通知书编号）。逾期不缴纳罚款的，根据《中华人民共和国行政处罚法》第七十二条的规定，我局将每日按罚款数额的百分之三加处罚款，并依法申请人民法院强制执行。</w:t>
      </w:r>
    </w:p>
    <w:p w14:paraId="60BAA655">
      <w:pPr>
        <w:pStyle w:val="2"/>
        <w:keepNext w:val="0"/>
        <w:keepLines w:val="0"/>
        <w:pageBreakBefore w:val="0"/>
        <w:numPr>
          <w:ilvl w:val="0"/>
          <w:numId w:val="0"/>
        </w:numPr>
        <w:kinsoku/>
        <w:wordWrap/>
        <w:overflowPunct/>
        <w:topLinePunct w:val="0"/>
        <w:bidi w:val="0"/>
        <w:snapToGrid/>
        <w:spacing w:line="520" w:lineRule="exact"/>
        <w:ind w:right="0" w:rightChars="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当事人如不服本行政处罚决定，可在接到本行政处罚决定书之日起60日内向柳州市柳北区人民政府申请行政复议；也可以在</w:t>
      </w:r>
      <w:r>
        <w:rPr>
          <w:rFonts w:hint="default" w:ascii="Times New Roman" w:hAnsi="Times New Roman" w:cs="Times New Roman"/>
          <w:color w:val="auto"/>
          <w:sz w:val="32"/>
          <w:szCs w:val="32"/>
          <w:u w:val="none"/>
          <w:lang w:val="en-US" w:eastAsia="zh-CN"/>
        </w:rPr>
        <w:t>6个月</w:t>
      </w:r>
      <w:r>
        <w:rPr>
          <w:rFonts w:hint="default" w:ascii="Times New Roman" w:hAnsi="Times New Roman" w:eastAsia="仿宋_GB2312" w:cs="Times New Roman"/>
          <w:color w:val="auto"/>
          <w:sz w:val="32"/>
          <w:szCs w:val="32"/>
          <w:u w:val="none"/>
          <w:lang w:val="en-US" w:eastAsia="zh-CN"/>
        </w:rPr>
        <w:t>内依法向柳州市柳南区人民法院提起行政诉讼。申请行政复议或者提起行政诉讼期间，行政处罚不停止执行</w:t>
      </w:r>
      <w:bookmarkStart w:id="4" w:name="DYNAMIC—DWXX—tAj_dwmc—2"/>
      <w:r>
        <w:rPr>
          <w:rFonts w:hint="default" w:ascii="Times New Roman" w:hAnsi="Times New Roman" w:eastAsia="仿宋_GB2312" w:cs="Times New Roman"/>
          <w:color w:val="auto"/>
          <w:sz w:val="32"/>
          <w:szCs w:val="32"/>
          <w:u w:val="none"/>
          <w:lang w:val="en-US" w:eastAsia="zh-CN"/>
        </w:rPr>
        <w:t>。</w:t>
      </w:r>
    </w:p>
    <w:p w14:paraId="67A2ED9A">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lang w:eastAsia="zh-CN"/>
        </w:rPr>
      </w:pPr>
    </w:p>
    <w:p w14:paraId="5EAD35D1">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lang w:eastAsia="zh-CN"/>
        </w:rPr>
      </w:pPr>
    </w:p>
    <w:p w14:paraId="06A37346">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lang w:eastAsia="zh-CN"/>
        </w:rPr>
      </w:pPr>
    </w:p>
    <w:p w14:paraId="79C1D7E4">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lang w:eastAsia="zh-CN"/>
        </w:rPr>
      </w:pPr>
    </w:p>
    <w:p w14:paraId="0411CEF5">
      <w:pPr>
        <w:keepNext w:val="0"/>
        <w:keepLines w:val="0"/>
        <w:pageBreakBefore w:val="0"/>
        <w:kinsoku/>
        <w:wordWrap/>
        <w:overflowPunct/>
        <w:topLinePunct w:val="0"/>
        <w:bidi w:val="0"/>
        <w:spacing w:line="520" w:lineRule="exact"/>
        <w:ind w:right="640" w:firstLine="601"/>
        <w:jc w:val="righ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柳州市</w:t>
      </w:r>
      <w:r>
        <w:rPr>
          <w:rFonts w:hint="default" w:ascii="Times New Roman" w:hAnsi="Times New Roman" w:eastAsia="仿宋_GB2312" w:cs="Times New Roman"/>
          <w:color w:val="auto"/>
          <w:sz w:val="32"/>
          <w:szCs w:val="32"/>
          <w:u w:val="none"/>
        </w:rPr>
        <w:t>柳北区市场监督管理局</w:t>
      </w:r>
      <w:bookmarkEnd w:id="4"/>
      <w:r>
        <w:rPr>
          <w:rFonts w:hint="default" w:ascii="Times New Roman" w:hAnsi="Times New Roman" w:eastAsia="仿宋_GB2312" w:cs="Times New Roman"/>
          <w:color w:val="auto"/>
          <w:sz w:val="32"/>
          <w:szCs w:val="32"/>
          <w:u w:val="none"/>
        </w:rPr>
        <w:t xml:space="preserve">    </w:t>
      </w:r>
    </w:p>
    <w:p w14:paraId="36894C04">
      <w:pPr>
        <w:keepNext w:val="0"/>
        <w:keepLines w:val="0"/>
        <w:pageBreakBefore w:val="0"/>
        <w:widowControl w:val="0"/>
        <w:kinsoku/>
        <w:wordWrap/>
        <w:overflowPunct/>
        <w:topLinePunct w:val="0"/>
        <w:autoSpaceDE/>
        <w:autoSpaceDN/>
        <w:bidi w:val="0"/>
        <w:adjustRightInd/>
        <w:snapToGrid/>
        <w:spacing w:line="520" w:lineRule="exact"/>
        <w:ind w:right="630" w:rightChars="300"/>
        <w:jc w:val="center"/>
        <w:textAlignment w:val="auto"/>
        <w:outlineLvl w:val="9"/>
        <w:rPr>
          <w:rFonts w:hint="default" w:ascii="Times New Roman" w:hAnsi="Times New Roman" w:eastAsia="仿宋_GB2312" w:cs="Times New Roman"/>
          <w:color w:val="auto"/>
          <w:sz w:val="32"/>
          <w:szCs w:val="32"/>
        </w:rPr>
      </w:pPr>
      <w:bookmarkStart w:id="5" w:name="CALCULATE—TIME—NOW"/>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2026年</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月2</w:t>
      </w:r>
      <w:r>
        <w:rPr>
          <w:rFonts w:hint="eastAsia" w:ascii="Times New Roman" w:hAnsi="Times New Roman" w:eastAsia="仿宋_GB2312" w:cs="Times New Roman"/>
          <w:color w:val="auto"/>
          <w:sz w:val="32"/>
          <w:szCs w:val="32"/>
          <w:lang w:val="en-US" w:eastAsia="zh-CN"/>
        </w:rPr>
        <w:t>4</w:t>
      </w:r>
      <w:bookmarkStart w:id="6" w:name="_GoBack"/>
      <w:bookmarkEnd w:id="6"/>
      <w:r>
        <w:rPr>
          <w:rFonts w:hint="default" w:ascii="Times New Roman" w:hAnsi="Times New Roman" w:eastAsia="仿宋_GB2312" w:cs="Times New Roman"/>
          <w:color w:val="auto"/>
          <w:sz w:val="32"/>
          <w:szCs w:val="32"/>
        </w:rPr>
        <w:t>日</w:t>
      </w:r>
      <w:bookmarkEnd w:id="5"/>
      <w:r>
        <w:rPr>
          <w:rFonts w:hint="default" w:ascii="Times New Roman" w:hAnsi="Times New Roman" w:eastAsia="仿宋_GB2312" w:cs="Times New Roman"/>
          <w:color w:val="auto"/>
          <w:sz w:val="32"/>
          <w:szCs w:val="32"/>
          <w:u w:val="none"/>
        </w:rPr>
        <w:t xml:space="preserve">  </w:t>
      </w:r>
    </w:p>
    <w:p w14:paraId="038A265C">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502E96D7">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2D13273B">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431CD630">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099770A7">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62409C7E">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2241B418">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76468B09">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51A596F5">
      <w:pPr>
        <w:pStyle w:val="4"/>
        <w:keepNext w:val="0"/>
        <w:keepLines w:val="0"/>
        <w:pageBreakBefore w:val="0"/>
        <w:widowControl w:val="0"/>
        <w:kinsoku/>
        <w:wordWrap/>
        <w:overflowPunct/>
        <w:topLinePunct w:val="0"/>
        <w:bidi w:val="0"/>
        <w:snapToGrid/>
        <w:spacing w:line="520" w:lineRule="exact"/>
        <w:ind w:left="0"/>
        <w:textAlignment w:val="auto"/>
        <w:rPr>
          <w:rFonts w:ascii="Times New Roman" w:hAnsi="Times New Roman" w:eastAsia="仿宋_GB2312" w:cs="仿宋"/>
          <w:bCs/>
          <w:color w:val="auto"/>
          <w:sz w:val="44"/>
          <w:szCs w:val="44"/>
        </w:rPr>
      </w:pPr>
      <w:r>
        <w:rPr>
          <w:rFonts w:ascii="Times New Roman" w:hAnsi="Times New Roman" w:eastAsia="仿宋_GB2312"/>
          <w:color w:val="auto"/>
          <w:spacing w:val="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0"/>
          <w:sz w:val="32"/>
          <w:u w:val="none"/>
        </w:rPr>
        <w:t>（市场监督管理部门将依法向社会公开行政处罚决定信息）</w:t>
      </w:r>
    </w:p>
    <w:p w14:paraId="01768825">
      <w:pPr>
        <w:keepNext w:val="0"/>
        <w:keepLines w:val="0"/>
        <w:pageBreakBefore w:val="0"/>
        <w:widowControl w:val="0"/>
        <w:kinsoku/>
        <w:wordWrap/>
        <w:overflowPunct/>
        <w:topLinePunct w:val="0"/>
        <w:bidi w:val="0"/>
        <w:snapToGrid/>
        <w:spacing w:line="520" w:lineRule="exact"/>
        <w:ind w:left="0"/>
        <w:textAlignment w:val="auto"/>
      </w:pPr>
      <w:r>
        <w:rPr>
          <w:rFonts w:hint="eastAsia" w:ascii="仿宋_GB2312" w:hAnsi="仿宋_GB2312" w:eastAsia="仿宋_GB2312" w:cs="仿宋_GB2312"/>
          <w:bCs/>
          <w:color w:val="000000"/>
          <w:sz w:val="32"/>
          <w:szCs w:val="32"/>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bCs/>
          <w:color w:val="000000"/>
          <w:sz w:val="32"/>
          <w:szCs w:val="32"/>
          <w:u w:val="none"/>
          <w:lang w:val="en-US" w:eastAsia="zh-CN"/>
        </w:rPr>
        <w:t>本文书一式三份，一份送达，一份归档，一份办案单位留存</w:t>
      </w:r>
      <w:r>
        <w:rPr>
          <w:rFonts w:hint="eastAsia" w:ascii="Times New Roman" w:hAnsi="Times New Roman" w:eastAsia="仿宋_GB2312" w:cs="仿宋"/>
          <w:color w:val="000000"/>
          <w:sz w:val="32"/>
          <w:szCs w:val="32"/>
          <w:u w:val="none"/>
        </w:rPr>
        <w:t>。</w:t>
      </w:r>
    </w:p>
    <w:p w14:paraId="3CEFC53F">
      <w:pPr>
        <w:spacing w:line="500" w:lineRule="exact"/>
        <w:rPr>
          <w:color w:val="auto"/>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E725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3C5D4">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73C5D4">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4236A8"/>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8D4FCE"/>
    <w:rsid w:val="0CF71776"/>
    <w:rsid w:val="0D242541"/>
    <w:rsid w:val="0FB748D6"/>
    <w:rsid w:val="103E22C5"/>
    <w:rsid w:val="11524677"/>
    <w:rsid w:val="115320F9"/>
    <w:rsid w:val="119E3BCA"/>
    <w:rsid w:val="1350279A"/>
    <w:rsid w:val="14203063"/>
    <w:rsid w:val="143E1E38"/>
    <w:rsid w:val="1490670C"/>
    <w:rsid w:val="152E563E"/>
    <w:rsid w:val="15B93156"/>
    <w:rsid w:val="161939DD"/>
    <w:rsid w:val="16D23D7F"/>
    <w:rsid w:val="18325353"/>
    <w:rsid w:val="188449CB"/>
    <w:rsid w:val="18B229B2"/>
    <w:rsid w:val="19FE4517"/>
    <w:rsid w:val="1AE345F4"/>
    <w:rsid w:val="1B37398D"/>
    <w:rsid w:val="1C7339BB"/>
    <w:rsid w:val="1C7A5BA8"/>
    <w:rsid w:val="1E664711"/>
    <w:rsid w:val="1EC222D9"/>
    <w:rsid w:val="1F2B5D07"/>
    <w:rsid w:val="1FC004DE"/>
    <w:rsid w:val="1FD31F15"/>
    <w:rsid w:val="211014F1"/>
    <w:rsid w:val="212E3259"/>
    <w:rsid w:val="22287087"/>
    <w:rsid w:val="237778B4"/>
    <w:rsid w:val="23F5677C"/>
    <w:rsid w:val="24626694"/>
    <w:rsid w:val="258D6CE0"/>
    <w:rsid w:val="27A45517"/>
    <w:rsid w:val="2A2411D9"/>
    <w:rsid w:val="2A7A27EA"/>
    <w:rsid w:val="2B1B3EFC"/>
    <w:rsid w:val="2CEA3815"/>
    <w:rsid w:val="2DE10173"/>
    <w:rsid w:val="2F327E79"/>
    <w:rsid w:val="2F7CE1EF"/>
    <w:rsid w:val="2F8A6913"/>
    <w:rsid w:val="303803AA"/>
    <w:rsid w:val="30DB5683"/>
    <w:rsid w:val="30FA2F6D"/>
    <w:rsid w:val="31562B39"/>
    <w:rsid w:val="31BE0AF5"/>
    <w:rsid w:val="32CE76E8"/>
    <w:rsid w:val="3334290F"/>
    <w:rsid w:val="33740640"/>
    <w:rsid w:val="3585615B"/>
    <w:rsid w:val="35883E6A"/>
    <w:rsid w:val="363C12E3"/>
    <w:rsid w:val="368E5656"/>
    <w:rsid w:val="377FBB27"/>
    <w:rsid w:val="37F16547"/>
    <w:rsid w:val="38B63DA7"/>
    <w:rsid w:val="3930619F"/>
    <w:rsid w:val="3A4E178D"/>
    <w:rsid w:val="3BF97ECA"/>
    <w:rsid w:val="3C2965F0"/>
    <w:rsid w:val="3C5B6995"/>
    <w:rsid w:val="3D6B1177"/>
    <w:rsid w:val="3E5F4AE1"/>
    <w:rsid w:val="3E853745"/>
    <w:rsid w:val="3F2604DF"/>
    <w:rsid w:val="3F6783E4"/>
    <w:rsid w:val="3F842066"/>
    <w:rsid w:val="3FFF82D4"/>
    <w:rsid w:val="402E7C06"/>
    <w:rsid w:val="40FE5F8F"/>
    <w:rsid w:val="41DA208E"/>
    <w:rsid w:val="425049CE"/>
    <w:rsid w:val="43AE347A"/>
    <w:rsid w:val="442B16EC"/>
    <w:rsid w:val="458F64B9"/>
    <w:rsid w:val="45C51FFB"/>
    <w:rsid w:val="46157ACD"/>
    <w:rsid w:val="47243FC5"/>
    <w:rsid w:val="48C10000"/>
    <w:rsid w:val="4A555101"/>
    <w:rsid w:val="4A714DCF"/>
    <w:rsid w:val="4ADF49AE"/>
    <w:rsid w:val="4AF14F7F"/>
    <w:rsid w:val="4B8F0B22"/>
    <w:rsid w:val="4C02380F"/>
    <w:rsid w:val="4C4D4AF8"/>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3B52F7"/>
    <w:rsid w:val="5F9FEDD5"/>
    <w:rsid w:val="5FBEF003"/>
    <w:rsid w:val="5FE33914"/>
    <w:rsid w:val="5FFA4D85"/>
    <w:rsid w:val="602422E6"/>
    <w:rsid w:val="60B635F2"/>
    <w:rsid w:val="60BE4536"/>
    <w:rsid w:val="60C16F3B"/>
    <w:rsid w:val="60E115FE"/>
    <w:rsid w:val="612E7E8C"/>
    <w:rsid w:val="617678F3"/>
    <w:rsid w:val="61DC2B1A"/>
    <w:rsid w:val="636955DE"/>
    <w:rsid w:val="646E5E05"/>
    <w:rsid w:val="64E43803"/>
    <w:rsid w:val="657F58CB"/>
    <w:rsid w:val="66934D57"/>
    <w:rsid w:val="67BD5BDE"/>
    <w:rsid w:val="6AD7030F"/>
    <w:rsid w:val="6BA277B7"/>
    <w:rsid w:val="6BCC1BB9"/>
    <w:rsid w:val="6C6723F1"/>
    <w:rsid w:val="6CA517CF"/>
    <w:rsid w:val="6D064CEC"/>
    <w:rsid w:val="6D3C6C5F"/>
    <w:rsid w:val="6D6C7F13"/>
    <w:rsid w:val="6D923254"/>
    <w:rsid w:val="6DD2313B"/>
    <w:rsid w:val="6E04767D"/>
    <w:rsid w:val="6E355D52"/>
    <w:rsid w:val="6E6950E9"/>
    <w:rsid w:val="6ED952C0"/>
    <w:rsid w:val="6F013B3F"/>
    <w:rsid w:val="6F732ABB"/>
    <w:rsid w:val="6F8D5396"/>
    <w:rsid w:val="6FF58B64"/>
    <w:rsid w:val="6FF8F863"/>
    <w:rsid w:val="70CF02CA"/>
    <w:rsid w:val="70F532B7"/>
    <w:rsid w:val="71013020"/>
    <w:rsid w:val="710D7C3E"/>
    <w:rsid w:val="71FC56E7"/>
    <w:rsid w:val="727A2F1F"/>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9DD3968"/>
    <w:rsid w:val="7AFB4DD2"/>
    <w:rsid w:val="7B0F6E9A"/>
    <w:rsid w:val="7BA46A39"/>
    <w:rsid w:val="7BFD6076"/>
    <w:rsid w:val="7C8E43D6"/>
    <w:rsid w:val="7CFB347C"/>
    <w:rsid w:val="7DA813EB"/>
    <w:rsid w:val="7DFF108F"/>
    <w:rsid w:val="7EED8AE6"/>
    <w:rsid w:val="7F562508"/>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d4c6b9f8-e4a3-4147-8a84-397ba10a14b6</errorID>
      <errorWord>，</errorWord>
      <group>L1_Word</group>
      <groupName>字词问题</groupName>
      <ability>L2_Typo</ability>
      <abilityName>字词错误</abilityName>
      <candidateList>
        <item>，以</item>
      </candidateList>
      <explain/>
      <paraID>4BDCFA62</paraID>
      <start>197</start>
      <end>199</end>
      <status>modified</status>
      <modifiedWord>，以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fd2ef2-5905-4a21-9bfb-80d9cbe4a900}">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2639</Words>
  <Characters>2767</Characters>
  <Lines>0</Lines>
  <Paragraphs>0</Paragraphs>
  <TotalTime>26</TotalTime>
  <ScaleCrop>false</ScaleCrop>
  <LinksUpToDate>false</LinksUpToDate>
  <CharactersWithSpaces>2804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2026-09-24T08:28:34Z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3054FABE62564D88A4514421DCF5B992_13</vt:lpwstr>
  </property>
  <property fmtid="{D5CDD505-2E9C-101B-9397-08002B2CF9AE}" pid="4" name="KSOTemplateDocerSaveRecord">
    <vt:lpwstr>eyJoZGlkIjoiNjljYzBiNmJkNjNmYjA3MDkwNzQ4ZTM5NDc1MTY5NDgiLCJ1c2VySWQiOiI5MTQwNjk2NTMifQ==</vt:lpwstr>
  </property>
</Properties>
</file>