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CD70AF">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color w:val="auto"/>
          <w:sz w:val="44"/>
          <w:szCs w:val="44"/>
        </w:rPr>
      </w:pPr>
      <w:bookmarkStart w:id="0" w:name="DYNAMIC—DWXX—tAj_dwmc"/>
      <w:r>
        <w:rPr>
          <w:rFonts w:hint="eastAsia" w:ascii="方正小标宋简体" w:hAnsi="方正小标宋简体" w:eastAsia="方正小标宋简体" w:cs="方正小标宋简体"/>
          <w:color w:val="auto"/>
          <w:sz w:val="44"/>
          <w:u w:val="none"/>
          <w:lang w:eastAsia="zh-CN"/>
        </w:rPr>
        <w:t>柳州市</w:t>
      </w:r>
      <w:r>
        <w:rPr>
          <w:rFonts w:hint="default" w:ascii="方正小标宋简体" w:hAnsi="方正小标宋简体" w:eastAsia="方正小标宋简体" w:cs="方正小标宋简体"/>
          <w:color w:val="auto"/>
          <w:sz w:val="44"/>
          <w:u w:val="none"/>
        </w:rPr>
        <w:t>柳北区市场监督管理局</w:t>
      </w:r>
      <w:bookmarkEnd w:id="0"/>
    </w:p>
    <w:p w14:paraId="3E7E3E6A">
      <w:pPr>
        <w:pStyle w:val="3"/>
        <w:keepNext w:val="0"/>
        <w:keepLines w:val="0"/>
        <w:pageBreakBefore w:val="0"/>
        <w:widowControl w:val="0"/>
        <w:numPr>
          <w:ilvl w:val="0"/>
          <w:numId w:val="2"/>
        </w:numPr>
        <w:kinsoku/>
        <w:wordWrap/>
        <w:overflowPunct/>
        <w:topLinePunct w:val="0"/>
        <w:autoSpaceDE/>
        <w:autoSpaceDN/>
        <w:bidi w:val="0"/>
        <w:adjustRightInd/>
        <w:snapToGrid/>
        <w:spacing w:before="0" w:after="0" w:line="480" w:lineRule="exact"/>
        <w:jc w:val="center"/>
        <w:textAlignment w:val="auto"/>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u w:val="none"/>
          <w:lang w:val="en-US"/>
        </w:rPr>
        <w:t>行政处罚</w:t>
      </w:r>
      <w:r>
        <w:rPr>
          <w:rFonts w:hint="eastAsia" w:hAnsi="方正小标宋简体" w:eastAsia="方正小标宋简体" w:cs="方正小标宋简体"/>
          <w:color w:val="auto"/>
          <w:sz w:val="44"/>
          <w:szCs w:val="44"/>
          <w:u w:val="none"/>
          <w:lang w:val="en-US" w:eastAsia="zh-Hans"/>
        </w:rPr>
        <w:t>决定</w:t>
      </w:r>
      <w:r>
        <w:rPr>
          <w:rFonts w:hint="eastAsia" w:hAnsi="方正小标宋简体" w:eastAsia="方正小标宋简体" w:cs="方正小标宋简体"/>
          <w:color w:val="auto"/>
          <w:sz w:val="44"/>
          <w:szCs w:val="44"/>
          <w:u w:val="none"/>
          <w:lang w:val="en-US"/>
        </w:rPr>
        <w:t>书</w:t>
      </w:r>
      <w:bookmarkEnd w:id="1"/>
    </w:p>
    <w:p w14:paraId="543CBB70">
      <w:pPr>
        <w:keepNext w:val="0"/>
        <w:keepLines w:val="0"/>
        <w:pageBreakBefore w:val="0"/>
        <w:widowControl/>
        <w:kinsoku/>
        <w:wordWrap/>
        <w:overflowPunct/>
        <w:topLinePunct w:val="0"/>
        <w:bidi w:val="0"/>
        <w:snapToGrid w:val="0"/>
        <w:spacing w:line="500" w:lineRule="exact"/>
        <w:ind w:right="55"/>
        <w:jc w:val="center"/>
        <w:outlineLvl w:val="1"/>
        <w:rPr>
          <w:rFonts w:hint="default" w:ascii="Times New Roman" w:hAnsi="Times New Roman" w:eastAsia="仿宋_GB2312" w:cs="Times New Roman"/>
          <w:color w:val="auto"/>
          <w:sz w:val="32"/>
          <w:szCs w:val="32"/>
          <w:u w:val="none"/>
        </w:rPr>
      </w:pPr>
      <w:bookmarkStart w:id="2" w:name="tAj_wh"/>
      <w:r>
        <w:rPr>
          <w:rFonts w:hint="default" w:ascii="Times New Roman" w:hAnsi="Times New Roman" w:eastAsia="仿宋_GB2312" w:cs="Times New Roman"/>
          <w:color w:val="auto"/>
          <w:sz w:val="32"/>
          <w:szCs w:val="32"/>
          <w:u w:val="none"/>
        </w:rPr>
        <w:t>柳北市监处罚〔2026〕</w:t>
      </w:r>
      <w:r>
        <w:rPr>
          <w:rFonts w:hint="eastAsia" w:ascii="Times New Roman" w:hAnsi="Times New Roman" w:eastAsia="仿宋_GB2312" w:cs="Times New Roman"/>
          <w:color w:val="auto"/>
          <w:sz w:val="32"/>
          <w:szCs w:val="32"/>
          <w:u w:val="none"/>
          <w:lang w:val="en-US" w:eastAsia="zh-CN"/>
        </w:rPr>
        <w:t>128</w:t>
      </w:r>
      <w:r>
        <w:rPr>
          <w:rFonts w:hint="default" w:ascii="Times New Roman" w:hAnsi="Times New Roman" w:eastAsia="仿宋_GB2312" w:cs="Times New Roman"/>
          <w:color w:val="auto"/>
          <w:sz w:val="32"/>
          <w:szCs w:val="32"/>
          <w:u w:val="none"/>
        </w:rPr>
        <w:t>号</w:t>
      </w:r>
      <w:bookmarkEnd w:id="2"/>
    </w:p>
    <w:p w14:paraId="250AE236">
      <w:pPr>
        <w:pStyle w:val="2"/>
        <w:rPr>
          <w:rFonts w:hint="default" w:ascii="Times New Roman" w:hAnsi="Times New Roman" w:cs="Times New Roman"/>
          <w:color w:val="auto"/>
        </w:rPr>
      </w:pPr>
    </w:p>
    <w:p w14:paraId="5D8B813B">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当事人：</w:t>
      </w:r>
      <w:r>
        <w:rPr>
          <w:rFonts w:hint="default" w:ascii="Times New Roman" w:hAnsi="Times New Roman" w:eastAsia="仿宋_GB2312" w:cs="Times New Roman"/>
          <w:color w:val="auto"/>
          <w:sz w:val="32"/>
          <w:szCs w:val="32"/>
          <w:u w:val="none"/>
          <w:lang w:val="en-US" w:eastAsia="zh-CN"/>
        </w:rPr>
        <w:t>柳州市柳北区梅姐美食楼</w:t>
      </w:r>
    </w:p>
    <w:p w14:paraId="0E833B58">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jc w:val="both"/>
        <w:textAlignment w:val="baseline"/>
        <w:outlineLvl w:val="9"/>
        <w:rPr>
          <w:rFonts w:hint="default" w:ascii="Times New Roman" w:hAnsi="Times New Roman" w:eastAsia="仿宋_GB2312" w:cs="Times New Roman"/>
          <w:b w:val="0"/>
          <w:bCs w:val="0"/>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主体资格证照名称：</w:t>
      </w:r>
      <w:r>
        <w:rPr>
          <w:rFonts w:hint="default" w:ascii="Times New Roman" w:hAnsi="Times New Roman" w:eastAsia="仿宋_GB2312" w:cs="Times New Roman"/>
          <w:b w:val="0"/>
          <w:bCs w:val="0"/>
          <w:color w:val="auto"/>
          <w:sz w:val="32"/>
          <w:szCs w:val="32"/>
          <w:u w:val="none"/>
          <w:lang w:val="en-US" w:eastAsia="zh-CN"/>
        </w:rPr>
        <w:t>营业执照</w:t>
      </w:r>
    </w:p>
    <w:p w14:paraId="18B6E025">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eastAsia="zh-CN"/>
        </w:rPr>
        <w:t>统一社会信用代码</w:t>
      </w:r>
      <w:r>
        <w:rPr>
          <w:rFonts w:hint="default" w:ascii="Times New Roman" w:hAnsi="Times New Roman" w:eastAsia="仿宋_GB2312" w:cs="Times New Roman"/>
          <w:color w:val="auto"/>
          <w:sz w:val="32"/>
          <w:szCs w:val="32"/>
          <w:u w:val="none"/>
          <w:lang w:val="en-US" w:eastAsia="zh-CN"/>
        </w:rPr>
        <w:t>：92450200MA5MPT4QXR</w:t>
      </w:r>
    </w:p>
    <w:p w14:paraId="08FFFAD3">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经营场所：柳州市柳北区北雀路14号恒兴名园1栋6号商铺</w:t>
      </w:r>
    </w:p>
    <w:p w14:paraId="31EBA415">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经营者：黄春梅</w:t>
      </w:r>
    </w:p>
    <w:p w14:paraId="35DE18AC">
      <w:pPr>
        <w:keepNext w:val="0"/>
        <w:keepLines w:val="0"/>
        <w:pageBreakBefore w:val="0"/>
        <w:widowControl w:val="0"/>
        <w:kinsoku/>
        <w:wordWrap/>
        <w:overflowPunct/>
        <w:topLinePunct w:val="0"/>
        <w:autoSpaceDE/>
        <w:autoSpaceDN/>
        <w:bidi w:val="0"/>
        <w:adjustRightInd w:val="0"/>
        <w:snapToGrid/>
        <w:spacing w:line="500" w:lineRule="exact"/>
        <w:ind w:left="0" w:leftChars="0" w:right="233" w:rightChars="111"/>
        <w:jc w:val="both"/>
        <w:textAlignment w:val="baseline"/>
        <w:outlineLvl w:val="9"/>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b w:val="0"/>
          <w:bCs w:val="0"/>
          <w:color w:val="auto"/>
          <w:sz w:val="32"/>
          <w:szCs w:val="32"/>
          <w:u w:val="none"/>
          <w:lang w:eastAsia="zh-CN"/>
        </w:rPr>
        <w:t>身份证</w:t>
      </w:r>
      <w:r>
        <w:rPr>
          <w:rFonts w:hint="default" w:ascii="Times New Roman" w:hAnsi="Times New Roman" w:eastAsia="仿宋_GB2312" w:cs="Times New Roman"/>
          <w:b w:val="0"/>
          <w:bCs w:val="0"/>
          <w:color w:val="auto"/>
          <w:sz w:val="32"/>
          <w:szCs w:val="32"/>
          <w:u w:val="none"/>
          <w:lang w:val="en-US" w:eastAsia="zh-CN"/>
        </w:rPr>
        <w:t>件</w:t>
      </w:r>
      <w:r>
        <w:rPr>
          <w:rFonts w:hint="default" w:ascii="Times New Roman" w:hAnsi="Times New Roman" w:eastAsia="仿宋_GB2312" w:cs="Times New Roman"/>
          <w:b w:val="0"/>
          <w:bCs w:val="0"/>
          <w:color w:val="auto"/>
          <w:sz w:val="32"/>
          <w:szCs w:val="32"/>
          <w:u w:val="none"/>
          <w:lang w:eastAsia="zh-CN"/>
        </w:rPr>
        <w:t>号码：</w:t>
      </w:r>
      <w:r>
        <w:rPr>
          <w:rFonts w:hint="eastAsia" w:ascii="Times New Roman" w:hAnsi="Times New Roman" w:eastAsia="仿宋_GB2312" w:cs="Times New Roman"/>
          <w:color w:val="auto"/>
          <w:sz w:val="32"/>
          <w:szCs w:val="32"/>
          <w:u w:val="none"/>
          <w:lang w:val="en-US" w:eastAsia="zh-CN"/>
        </w:rPr>
        <w:t>*</w:t>
      </w:r>
    </w:p>
    <w:p w14:paraId="379B217A">
      <w:pPr>
        <w:pStyle w:val="2"/>
        <w:keepNext w:val="0"/>
        <w:keepLines w:val="0"/>
        <w:pageBreakBefore w:val="0"/>
        <w:kinsoku/>
        <w:wordWrap/>
        <w:overflowPunct/>
        <w:topLinePunct w:val="0"/>
        <w:bidi w:val="0"/>
        <w:spacing w:line="500" w:lineRule="exact"/>
        <w:rPr>
          <w:rFonts w:hint="default" w:ascii="Times New Roman" w:hAnsi="Times New Roman" w:eastAsia="仿宋_GB2312" w:cs="Times New Roman"/>
          <w:color w:val="auto"/>
          <w:sz w:val="32"/>
          <w:szCs w:val="32"/>
          <w:lang w:val="en-US" w:eastAsia="zh-CN"/>
        </w:rPr>
      </w:pPr>
    </w:p>
    <w:p w14:paraId="28C2A71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2026年6月2日广西民生中检联检测有限公司对当事人当天入网经营的油条（订单生成日期：</w:t>
      </w:r>
      <w:r>
        <w:rPr>
          <w:rFonts w:hint="eastAsia" w:ascii="Times New Roman" w:hAnsi="Times New Roman" w:eastAsia="仿宋_GB2312" w:cs="Times New Roman"/>
          <w:color w:val="auto"/>
          <w:sz w:val="32"/>
          <w:szCs w:val="32"/>
          <w:highlight w:val="none"/>
          <w:u w:val="none"/>
          <w:lang w:val="en-US" w:eastAsia="zh-CN"/>
        </w:rPr>
        <w:t>2026年6月2日</w:t>
      </w:r>
      <w:r>
        <w:rPr>
          <w:rFonts w:hint="default" w:ascii="Times New Roman" w:hAnsi="Times New Roman" w:eastAsia="仿宋_GB2312" w:cs="Times New Roman"/>
          <w:color w:val="auto"/>
          <w:sz w:val="32"/>
          <w:szCs w:val="32"/>
          <w:highlight w:val="none"/>
          <w:u w:val="none"/>
          <w:lang w:val="en-US" w:eastAsia="zh-CN"/>
        </w:rPr>
        <w:t>）进行抽检。2026年6月30日我局收到广西民生中检联检测有限公司出具的编号为№：BFSQG060064002C的《检验报告》，检验结论为不合格。我局执法人员于2026年7月7日向当事人送达上述《检验报告》及《食品安全抽样检验结果通知书》，并对当事人经营场所进行现场检查，经检查，上述油条已无在售及库存。我局于2026年7月10日对当事人涉嫌经营超限量使用食品添加剂的食品的行为进行立案调查。</w:t>
      </w:r>
    </w:p>
    <w:p w14:paraId="7BC07D25">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经查实，当事人于2026年6月2日以1.2元/根的价格购进了15根油条，入网销售价为3元/根，14根通过网络销售给广西民生中检联检测有限公司的工作人员抽样送检，1根被经营者自行食用。上述油条经广西民生中检联检测有限公司抽样检验，检验结论：经抽样检验，铝的残留量（干样品，以Al计）项目不符合GB 2760-2024《食品安全国家标准 食品添加剂使用标准》要求，检验结论为不合格。上述油条货值金额为42元。本案货值金额为42元，违法所得为25.2元。</w:t>
      </w:r>
    </w:p>
    <w:p w14:paraId="11526872">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auto"/>
          <w:sz w:val="32"/>
          <w:szCs w:val="32"/>
          <w:u w:val="none"/>
        </w:rPr>
      </w:pPr>
      <w:r>
        <w:rPr>
          <w:rFonts w:hint="default" w:ascii="Times New Roman" w:hAnsi="Times New Roman" w:eastAsia="仿宋_GB2312" w:cs="Times New Roman"/>
          <w:color w:val="auto"/>
          <w:sz w:val="32"/>
          <w:szCs w:val="32"/>
          <w:u w:val="none"/>
        </w:rPr>
        <w:t>当事人在采购上述油条时未查验供货商的资质证明及食品合格证明文件。</w:t>
      </w:r>
    </w:p>
    <w:p w14:paraId="37315087">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上述事实，主要有以下证据证明：</w:t>
      </w:r>
    </w:p>
    <w:p w14:paraId="707B01B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1.《营业执照》及《食品经营许可证》复印件各1份，黄春梅的身份证复印件1份，证明当事人的主体资格和经营者的身份信息。</w:t>
      </w:r>
    </w:p>
    <w:p w14:paraId="5D280E2C">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现场笔录1份，证据提取单10份，询问笔录1份，检验报告1份，《食品安全抽样检验结果通知书》1份，《食品安全抽样检验抽样单（非食用农产品）》1份，证明当事人存在经营铝的残留量（干样品，以Al计）项目不符合GB 2760-2024《食品安全国家标准 食品添加剂使用标准》要求的油条的事实。</w:t>
      </w:r>
    </w:p>
    <w:p w14:paraId="4C9DCED0">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以上证据均由经营者签名认可。</w:t>
      </w:r>
    </w:p>
    <w:p w14:paraId="7BD6FE4A">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我局于2026年9月17日向当事人送达了《行政处罚告知书》（柳北市监罚告〔2026〕112号），告知当事人我局拟作出行政处罚的事实、理由、依据、处罚内容及享有的权利。当事人在法定期限内未提出陈述、申辩。</w:t>
      </w:r>
    </w:p>
    <w:p w14:paraId="6A9D35BF">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当事人在采购上述油条时未查验供货商的资质证明及食品合格证明文件的行为，违反了《中华人民共和国食品安全法》第五十三条第一款“食品经营者采购食品，应当查验供货者的许可证和食品出厂检验合格证或者其他合格证明（以下称合格证明文件）。”的规定，属于未履行进货查验义务的行为。</w:t>
      </w:r>
    </w:p>
    <w:p w14:paraId="2ACFB469">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当事人销售上述油条的行为，违反了《中华人民共和国食品安全法》第三十四条</w:t>
      </w:r>
      <w:r>
        <w:rPr>
          <w:rFonts w:hint="eastAsia" w:ascii="Times New Roman" w:hAnsi="Times New Roman" w:eastAsia="仿宋_GB2312" w:cs="Times New Roman"/>
          <w:color w:val="auto"/>
          <w:sz w:val="32"/>
          <w:szCs w:val="32"/>
          <w:highlight w:val="none"/>
          <w:u w:val="none"/>
          <w:lang w:val="en-US" w:eastAsia="zh-CN"/>
        </w:rPr>
        <w:t>第一款</w:t>
      </w:r>
      <w:r>
        <w:rPr>
          <w:rFonts w:hint="default" w:ascii="Times New Roman" w:hAnsi="Times New Roman" w:eastAsia="仿宋_GB2312" w:cs="Times New Roman"/>
          <w:color w:val="auto"/>
          <w:sz w:val="32"/>
          <w:szCs w:val="32"/>
          <w:highlight w:val="none"/>
          <w:u w:val="none"/>
          <w:lang w:val="en-US" w:eastAsia="zh-CN"/>
        </w:rPr>
        <w:t>第四项“禁止生产经营下列食品、食品添加剂、食品相关产品：（四）超范围、超限量使用食品添加剂的食品；”的规定，属于经营超限量使用食品添加剂的食品的行为。</w:t>
      </w:r>
      <w:r>
        <w:rPr>
          <w:rFonts w:hint="eastAsia" w:ascii="Times New Roman" w:hAnsi="Times New Roman" w:eastAsia="仿宋_GB2312" w:cs="Times New Roman"/>
          <w:color w:val="auto"/>
          <w:sz w:val="32"/>
          <w:szCs w:val="32"/>
          <w:highlight w:val="none"/>
          <w:u w:val="none"/>
          <w:lang w:val="en-US" w:eastAsia="zh-CN"/>
        </w:rPr>
        <w:t>本案</w:t>
      </w:r>
      <w:r>
        <w:rPr>
          <w:rFonts w:hint="default" w:ascii="Times New Roman" w:hAnsi="Times New Roman" w:eastAsia="仿宋_GB2312" w:cs="Times New Roman"/>
          <w:color w:val="auto"/>
          <w:sz w:val="32"/>
          <w:szCs w:val="32"/>
          <w:highlight w:val="none"/>
          <w:u w:val="none"/>
          <w:lang w:val="en-US" w:eastAsia="zh-CN"/>
        </w:rPr>
        <w:t>货值金额为42元，违法所得为25.2元。</w:t>
      </w:r>
    </w:p>
    <w:p w14:paraId="76E28118">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当事人经营的上述油条仅销售给广西民生中检联检测有限公司的工作人员用于抽样送检且货值金额不足一千元，未造成食品安全事故等人身危害后果，且在案件调查过程中积极配合我局调查，如实陈述违法事实并主动提供相关证据材料，依据《中华人民共和国行政处罚法》第五条第二款“ 设定和实施行政处罚必须以事实为依据，与违法行为的事实、性质、情节以及社会危害程度相当。”、第六条“实施行政处罚，纠正违法行为，应当坚持处罚与教育相结合，教育公民、法人或者其他组织自觉守法。”，并参照《关于规范市场监督管理行政处罚裁量权的指导意见》第十四条第二项“积极配合市场监管部门调查并主动提供证据材料的；”《广西壮族自治区市场监督管理行政处罚裁量权适用规定》第十二条第一款第二项“有下列情形之一的，可以依法从轻或者减轻行政处罚：（二）积极配合市场监管部门调查并主动提供证据材料的；”《广西壮族自治区市场监督管理行政处罚裁量基准（2023 版）》中《食品安全法》行政处罚裁量基准“没收违法所得和违法生产经营的食品、食品添加剂，并可以没收用于违法生产经营的工具、设备、原料等物品；并处5万元以下罚款。”减轻处罚适用情形“未造成食品安全事故等人身危害后果且有下列情形之一的：2.产品未销售；或者产品已经销售且货值金额不足一千元；”的规定，</w:t>
      </w:r>
      <w:r>
        <w:rPr>
          <w:rFonts w:hint="default" w:ascii="Times New Roman" w:hAnsi="Times New Roman" w:eastAsia="仿宋_GB2312" w:cs="Times New Roman"/>
          <w:color w:val="auto"/>
          <w:sz w:val="32"/>
          <w:szCs w:val="32"/>
          <w:highlight w:val="none"/>
          <w:u w:val="none"/>
          <w:lang w:val="zh-CN" w:eastAsia="zh-CN"/>
        </w:rPr>
        <w:t>我局决定对</w:t>
      </w:r>
      <w:r>
        <w:rPr>
          <w:rFonts w:hint="default" w:ascii="Times New Roman" w:hAnsi="Times New Roman" w:eastAsia="仿宋_GB2312" w:cs="Times New Roman"/>
          <w:color w:val="auto"/>
          <w:sz w:val="32"/>
          <w:szCs w:val="32"/>
          <w:highlight w:val="none"/>
          <w:u w:val="none"/>
          <w:lang w:val="en-US" w:eastAsia="zh-CN"/>
        </w:rPr>
        <w:t>当事人减轻行政处罚。</w:t>
      </w:r>
    </w:p>
    <w:p w14:paraId="14CC1C22">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对于当事人未履行进货查验义务的行为，依据《中华人民共和国食品安全法》第一百二十六条第一款第三项“违反本法规定，有下列情形之一的，由县级以上人民政府食品安全监督管理部门责令改正，给予警告；拒不改正的，处五千元以上五万元以下罚款；情节严重的，责令停产停业，直至吊销许可证：（三）食品、食品添加剂生产经营者进货时未查验许可证和相关证明文件，或者未按规定建立并遵守进货查验记录、出厂检验记录和销售记录制度；”的规定，</w:t>
      </w:r>
      <w:r>
        <w:rPr>
          <w:rFonts w:hint="default" w:ascii="Times New Roman" w:hAnsi="Times New Roman" w:eastAsia="仿宋_GB2312" w:cs="Times New Roman"/>
          <w:color w:val="auto"/>
          <w:sz w:val="32"/>
          <w:szCs w:val="32"/>
          <w:highlight w:val="none"/>
          <w:u w:val="none"/>
          <w:lang w:val="zh-CN" w:eastAsia="zh-CN"/>
        </w:rPr>
        <w:t>我局决定</w:t>
      </w:r>
      <w:r>
        <w:rPr>
          <w:rFonts w:hint="default" w:ascii="Times New Roman" w:hAnsi="Times New Roman" w:eastAsia="仿宋_GB2312" w:cs="Times New Roman"/>
          <w:color w:val="auto"/>
          <w:sz w:val="32"/>
          <w:szCs w:val="32"/>
          <w:highlight w:val="none"/>
          <w:u w:val="none"/>
          <w:lang w:val="en-US" w:eastAsia="zh-CN"/>
        </w:rPr>
        <w:t>责令当事人立即改正该违法行为，并给予警告的行政处罚。</w:t>
      </w:r>
    </w:p>
    <w:p w14:paraId="5BD25AD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对于当事人经营超限量使用食品添加剂的食品的行为，依据《中华人民共和国行政处罚法》第二十八条第一款“行政机关实施行政处罚时，应当责令当事人改正或者限期改正违法行为。</w:t>
      </w:r>
      <w:r>
        <w:rPr>
          <w:rFonts w:hint="eastAsia" w:ascii="Times New Roman" w:hAnsi="Times New Roman"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中华人民共和国食品安全法》第一百二十四条第一款第三项“违反本法规定，有下列情形之一，尚不构成犯罪的，由县级以上人民政府食品安全监督管理部门没收违法所得和违法生产经营的食品、食品添加剂，并可以没收用于违法生产经营的工具、设备、原料等物品；违法生产经营的食品、食品添加剂货值金额不足一万元的，并处五万元以上十万元以下罚款；货值金额一万元以上的，并处货值金额十倍以上二十倍以下罚款；情节严重的，吊销许可证：（三）生产经营超范围、超限量使用食品添加剂的食品；”的规定，</w:t>
      </w:r>
      <w:r>
        <w:rPr>
          <w:rFonts w:hint="default" w:ascii="Times New Roman" w:hAnsi="Times New Roman" w:eastAsia="仿宋_GB2312" w:cs="Times New Roman"/>
          <w:color w:val="auto"/>
          <w:sz w:val="32"/>
          <w:szCs w:val="32"/>
          <w:highlight w:val="none"/>
          <w:u w:val="none"/>
          <w:lang w:val="zh-CN" w:eastAsia="zh-CN"/>
        </w:rPr>
        <w:t>我局决定</w:t>
      </w:r>
      <w:r>
        <w:rPr>
          <w:rFonts w:hint="default" w:ascii="Times New Roman" w:hAnsi="Times New Roman" w:eastAsia="仿宋_GB2312" w:cs="Times New Roman"/>
          <w:color w:val="auto"/>
          <w:sz w:val="32"/>
          <w:szCs w:val="32"/>
          <w:highlight w:val="none"/>
          <w:u w:val="none"/>
          <w:lang w:val="en-US" w:eastAsia="zh-CN"/>
        </w:rPr>
        <w:t>责令当事人立即改正该违法行为，并给予罚款2000元、没收违法所得25.2元的行政处罚。</w:t>
      </w:r>
    </w:p>
    <w:p w14:paraId="2235A763">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综上所述，</w:t>
      </w:r>
      <w:r>
        <w:rPr>
          <w:rFonts w:hint="default" w:ascii="Times New Roman" w:hAnsi="Times New Roman" w:eastAsia="仿宋_GB2312" w:cs="Times New Roman"/>
          <w:color w:val="auto"/>
          <w:sz w:val="32"/>
          <w:szCs w:val="32"/>
          <w:highlight w:val="none"/>
          <w:u w:val="none"/>
          <w:lang w:val="zh-CN" w:eastAsia="zh-CN"/>
        </w:rPr>
        <w:t>我局决定</w:t>
      </w:r>
      <w:r>
        <w:rPr>
          <w:rFonts w:hint="default" w:ascii="Times New Roman" w:hAnsi="Times New Roman" w:eastAsia="仿宋_GB2312" w:cs="Times New Roman"/>
          <w:color w:val="auto"/>
          <w:sz w:val="32"/>
          <w:szCs w:val="32"/>
          <w:highlight w:val="none"/>
          <w:u w:val="none"/>
          <w:lang w:val="en-US" w:eastAsia="zh-CN"/>
        </w:rPr>
        <w:t>责令当事人立即改正上述违法行为，并给予以下行政处罚：</w:t>
      </w:r>
    </w:p>
    <w:p w14:paraId="0AACC1D1">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1.警告；</w:t>
      </w:r>
    </w:p>
    <w:p w14:paraId="70EA96D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2.没收违法所得25.2元；</w:t>
      </w:r>
    </w:p>
    <w:p w14:paraId="32BEC5CA">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3.罚款2000元。</w:t>
      </w:r>
    </w:p>
    <w:p w14:paraId="652274E8">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以上罚没款合计2025.2元。</w:t>
      </w:r>
    </w:p>
    <w:p w14:paraId="05F69D9D">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u w:val="none"/>
          <w:lang w:val="en-US" w:eastAsia="zh-CN"/>
        </w:rPr>
        <w:t>当事人应自接到本行政处罚决定书之日起十五日内，凭《广西壮族自治区非税收入电子缴款通知书》到中国建设银行或柳州银行缴纳上述款项（附言备注20位缴款通知书编号）。逾期不缴纳罚款的，根据《中华人民共和国行政处罚法》第七十二条的规定，我局将每日按罚款数额的百分之三加处罚款，并依法申请人民法院强制执行。</w:t>
      </w:r>
    </w:p>
    <w:p w14:paraId="60BAA655">
      <w:pPr>
        <w:pStyle w:val="2"/>
        <w:keepNext w:val="0"/>
        <w:keepLines w:val="0"/>
        <w:pageBreakBefore w:val="0"/>
        <w:numPr>
          <w:ilvl w:val="0"/>
          <w:numId w:val="0"/>
        </w:numPr>
        <w:kinsoku/>
        <w:wordWrap/>
        <w:overflowPunct/>
        <w:topLinePunct w:val="0"/>
        <w:bidi w:val="0"/>
        <w:snapToGrid/>
        <w:spacing w:line="500" w:lineRule="exact"/>
        <w:ind w:right="0" w:rightChars="0"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color w:val="auto"/>
          <w:sz w:val="32"/>
          <w:szCs w:val="32"/>
          <w:u w:val="none"/>
          <w:lang w:val="en-US" w:eastAsia="zh-CN"/>
        </w:rPr>
        <w:t>当事人如不服本行政处罚决定，可在接到本行政处罚决定书之日起60日内向柳州市柳北区人民政府申请行政复议；也可以在</w:t>
      </w:r>
      <w:r>
        <w:rPr>
          <w:rFonts w:hint="default" w:ascii="Times New Roman" w:hAnsi="Times New Roman" w:cs="Times New Roman"/>
          <w:color w:val="auto"/>
          <w:sz w:val="32"/>
          <w:szCs w:val="32"/>
          <w:u w:val="none"/>
          <w:lang w:val="en-US" w:eastAsia="zh-CN"/>
        </w:rPr>
        <w:t>6个月</w:t>
      </w:r>
      <w:r>
        <w:rPr>
          <w:rFonts w:hint="default" w:ascii="Times New Roman" w:hAnsi="Times New Roman" w:eastAsia="仿宋_GB2312" w:cs="Times New Roman"/>
          <w:color w:val="auto"/>
          <w:sz w:val="32"/>
          <w:szCs w:val="32"/>
          <w:u w:val="none"/>
          <w:lang w:val="en-US" w:eastAsia="zh-CN"/>
        </w:rPr>
        <w:t>内依法向柳州市柳南区人民法院提起行政诉讼。申请行政复议或者提起行政诉讼期间，行政处罚不停止执行</w:t>
      </w:r>
      <w:bookmarkStart w:id="3" w:name="DYNAMIC—DWXX—tAj_dwmc—2"/>
      <w:r>
        <w:rPr>
          <w:rFonts w:hint="default" w:ascii="Times New Roman" w:hAnsi="Times New Roman" w:eastAsia="仿宋_GB2312" w:cs="Times New Roman"/>
          <w:color w:val="auto"/>
          <w:sz w:val="32"/>
          <w:szCs w:val="32"/>
          <w:u w:val="none"/>
          <w:lang w:val="en-US" w:eastAsia="zh-CN"/>
        </w:rPr>
        <w:t>。</w:t>
      </w:r>
    </w:p>
    <w:p w14:paraId="67A2ED9A">
      <w:pPr>
        <w:pStyle w:val="2"/>
        <w:keepNext w:val="0"/>
        <w:keepLines w:val="0"/>
        <w:pageBreakBefore w:val="0"/>
        <w:kinsoku/>
        <w:wordWrap/>
        <w:overflowPunct/>
        <w:topLinePunct w:val="0"/>
        <w:bidi w:val="0"/>
        <w:spacing w:line="500" w:lineRule="exact"/>
        <w:rPr>
          <w:rFonts w:hint="default" w:ascii="Times New Roman" w:hAnsi="Times New Roman" w:eastAsia="仿宋_GB2312" w:cs="Times New Roman"/>
          <w:color w:val="auto"/>
          <w:sz w:val="32"/>
          <w:szCs w:val="32"/>
          <w:lang w:eastAsia="zh-CN"/>
        </w:rPr>
      </w:pPr>
    </w:p>
    <w:p w14:paraId="5EAD35D1">
      <w:pPr>
        <w:pStyle w:val="2"/>
        <w:keepNext w:val="0"/>
        <w:keepLines w:val="0"/>
        <w:pageBreakBefore w:val="0"/>
        <w:kinsoku/>
        <w:wordWrap/>
        <w:overflowPunct/>
        <w:topLinePunct w:val="0"/>
        <w:bidi w:val="0"/>
        <w:spacing w:line="500" w:lineRule="exact"/>
        <w:rPr>
          <w:rFonts w:hint="default" w:ascii="Times New Roman" w:hAnsi="Times New Roman" w:eastAsia="仿宋_GB2312" w:cs="Times New Roman"/>
          <w:color w:val="auto"/>
          <w:sz w:val="32"/>
          <w:szCs w:val="32"/>
          <w:lang w:eastAsia="zh-CN"/>
        </w:rPr>
      </w:pPr>
    </w:p>
    <w:p w14:paraId="06A37346">
      <w:pPr>
        <w:pStyle w:val="2"/>
        <w:keepNext w:val="0"/>
        <w:keepLines w:val="0"/>
        <w:pageBreakBefore w:val="0"/>
        <w:kinsoku/>
        <w:wordWrap/>
        <w:overflowPunct/>
        <w:topLinePunct w:val="0"/>
        <w:bidi w:val="0"/>
        <w:spacing w:line="500" w:lineRule="exact"/>
        <w:rPr>
          <w:rFonts w:hint="default" w:ascii="Times New Roman" w:hAnsi="Times New Roman" w:eastAsia="仿宋_GB2312" w:cs="Times New Roman"/>
          <w:color w:val="auto"/>
          <w:sz w:val="32"/>
          <w:szCs w:val="32"/>
          <w:lang w:eastAsia="zh-CN"/>
        </w:rPr>
      </w:pPr>
    </w:p>
    <w:p w14:paraId="79C1D7E4">
      <w:pPr>
        <w:pStyle w:val="2"/>
        <w:keepNext w:val="0"/>
        <w:keepLines w:val="0"/>
        <w:pageBreakBefore w:val="0"/>
        <w:kinsoku/>
        <w:wordWrap/>
        <w:overflowPunct/>
        <w:topLinePunct w:val="0"/>
        <w:bidi w:val="0"/>
        <w:spacing w:line="500" w:lineRule="exact"/>
        <w:rPr>
          <w:rFonts w:hint="default" w:ascii="Times New Roman" w:hAnsi="Times New Roman" w:eastAsia="仿宋_GB2312" w:cs="Times New Roman"/>
          <w:color w:val="auto"/>
          <w:sz w:val="32"/>
          <w:szCs w:val="32"/>
          <w:lang w:eastAsia="zh-CN"/>
        </w:rPr>
      </w:pPr>
    </w:p>
    <w:p w14:paraId="0411CEF5">
      <w:pPr>
        <w:keepNext w:val="0"/>
        <w:keepLines w:val="0"/>
        <w:pageBreakBefore w:val="0"/>
        <w:kinsoku/>
        <w:wordWrap/>
        <w:overflowPunct/>
        <w:topLinePunct w:val="0"/>
        <w:bidi w:val="0"/>
        <w:spacing w:line="500" w:lineRule="exact"/>
        <w:ind w:right="640" w:firstLine="601"/>
        <w:jc w:val="righ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u w:val="none"/>
          <w:lang w:eastAsia="zh-CN"/>
        </w:rPr>
        <w:t>柳州市</w:t>
      </w:r>
      <w:r>
        <w:rPr>
          <w:rFonts w:hint="default" w:ascii="Times New Roman" w:hAnsi="Times New Roman" w:eastAsia="仿宋_GB2312" w:cs="Times New Roman"/>
          <w:color w:val="auto"/>
          <w:sz w:val="32"/>
          <w:szCs w:val="32"/>
          <w:u w:val="none"/>
        </w:rPr>
        <w:t>柳北区市场监督管理局</w:t>
      </w:r>
      <w:bookmarkEnd w:id="3"/>
      <w:r>
        <w:rPr>
          <w:rFonts w:hint="default" w:ascii="Times New Roman" w:hAnsi="Times New Roman" w:eastAsia="仿宋_GB2312" w:cs="Times New Roman"/>
          <w:color w:val="auto"/>
          <w:sz w:val="32"/>
          <w:szCs w:val="32"/>
          <w:u w:val="none"/>
        </w:rPr>
        <w:t xml:space="preserve">    </w:t>
      </w:r>
    </w:p>
    <w:p w14:paraId="2D13273B">
      <w:pPr>
        <w:keepNext w:val="0"/>
        <w:keepLines w:val="0"/>
        <w:pageBreakBefore w:val="0"/>
        <w:widowControl w:val="0"/>
        <w:kinsoku/>
        <w:wordWrap/>
        <w:overflowPunct/>
        <w:topLinePunct w:val="0"/>
        <w:autoSpaceDE/>
        <w:autoSpaceDN/>
        <w:bidi w:val="0"/>
        <w:adjustRightInd/>
        <w:snapToGrid/>
        <w:spacing w:line="500" w:lineRule="exact"/>
        <w:ind w:right="630" w:rightChars="300"/>
        <w:jc w:val="center"/>
        <w:textAlignment w:val="auto"/>
        <w:outlineLvl w:val="9"/>
        <w:rPr>
          <w:rFonts w:hint="default" w:ascii="Times New Roman" w:hAnsi="Times New Roman" w:eastAsia="仿宋_GB2312" w:cs="Times New Roman"/>
          <w:color w:val="auto"/>
          <w:sz w:val="32"/>
          <w:szCs w:val="32"/>
        </w:rPr>
      </w:pPr>
      <w:bookmarkStart w:id="4" w:name="CALCULATE—TIME—NOW"/>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2026年</w:t>
      </w: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月2</w:t>
      </w:r>
      <w:r>
        <w:rPr>
          <w:rFonts w:hint="eastAsia" w:ascii="Times New Roman" w:hAnsi="Times New Roman" w:eastAsia="仿宋_GB2312" w:cs="Times New Roman"/>
          <w:color w:val="auto"/>
          <w:sz w:val="32"/>
          <w:szCs w:val="32"/>
          <w:lang w:val="en-US" w:eastAsia="zh-CN"/>
        </w:rPr>
        <w:t>4</w:t>
      </w:r>
      <w:bookmarkStart w:id="5" w:name="_GoBack"/>
      <w:bookmarkEnd w:id="5"/>
      <w:r>
        <w:rPr>
          <w:rFonts w:hint="default" w:ascii="Times New Roman" w:hAnsi="Times New Roman" w:eastAsia="仿宋_GB2312" w:cs="Times New Roman"/>
          <w:color w:val="auto"/>
          <w:sz w:val="32"/>
          <w:szCs w:val="32"/>
        </w:rPr>
        <w:t>日</w:t>
      </w:r>
      <w:bookmarkEnd w:id="4"/>
      <w:r>
        <w:rPr>
          <w:rFonts w:hint="default" w:ascii="Times New Roman" w:hAnsi="Times New Roman" w:eastAsia="仿宋_GB2312" w:cs="Times New Roman"/>
          <w:color w:val="auto"/>
          <w:sz w:val="32"/>
          <w:szCs w:val="32"/>
          <w:u w:val="none"/>
        </w:rPr>
        <w:t xml:space="preserve">  </w:t>
      </w:r>
    </w:p>
    <w:p w14:paraId="76468B09">
      <w:pPr>
        <w:pStyle w:val="2"/>
        <w:keepNext w:val="0"/>
        <w:keepLines w:val="0"/>
        <w:pageBreakBefore w:val="0"/>
        <w:kinsoku/>
        <w:wordWrap/>
        <w:overflowPunct/>
        <w:topLinePunct w:val="0"/>
        <w:bidi w:val="0"/>
        <w:spacing w:line="500" w:lineRule="exact"/>
        <w:rPr>
          <w:rFonts w:hint="default" w:ascii="Times New Roman" w:hAnsi="Times New Roman" w:eastAsia="仿宋_GB2312" w:cs="Times New Roman"/>
          <w:color w:val="auto"/>
          <w:sz w:val="32"/>
          <w:szCs w:val="32"/>
        </w:rPr>
      </w:pPr>
    </w:p>
    <w:p w14:paraId="6E6C101D">
      <w:pPr>
        <w:pStyle w:val="2"/>
        <w:keepNext w:val="0"/>
        <w:keepLines w:val="0"/>
        <w:pageBreakBefore w:val="0"/>
        <w:kinsoku/>
        <w:wordWrap/>
        <w:overflowPunct/>
        <w:topLinePunct w:val="0"/>
        <w:bidi w:val="0"/>
        <w:spacing w:line="500" w:lineRule="exact"/>
        <w:rPr>
          <w:rFonts w:hint="default" w:ascii="Times New Roman" w:hAnsi="Times New Roman" w:eastAsia="仿宋_GB2312" w:cs="Times New Roman"/>
          <w:color w:val="auto"/>
          <w:sz w:val="32"/>
          <w:szCs w:val="32"/>
        </w:rPr>
      </w:pPr>
    </w:p>
    <w:p w14:paraId="40C0B097">
      <w:pPr>
        <w:pStyle w:val="2"/>
        <w:keepNext w:val="0"/>
        <w:keepLines w:val="0"/>
        <w:pageBreakBefore w:val="0"/>
        <w:kinsoku/>
        <w:wordWrap/>
        <w:overflowPunct/>
        <w:topLinePunct w:val="0"/>
        <w:bidi w:val="0"/>
        <w:spacing w:line="500" w:lineRule="exact"/>
        <w:rPr>
          <w:rFonts w:hint="default" w:ascii="Times New Roman" w:hAnsi="Times New Roman" w:eastAsia="仿宋_GB2312" w:cs="Times New Roman"/>
          <w:color w:val="auto"/>
          <w:sz w:val="32"/>
          <w:szCs w:val="32"/>
        </w:rPr>
      </w:pPr>
    </w:p>
    <w:p w14:paraId="56EC8DA9">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200725D1">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033FE8E4">
      <w:pPr>
        <w:pStyle w:val="2"/>
        <w:keepNext w:val="0"/>
        <w:keepLines w:val="0"/>
        <w:pageBreakBefore w:val="0"/>
        <w:kinsoku/>
        <w:wordWrap/>
        <w:overflowPunct/>
        <w:topLinePunct w:val="0"/>
        <w:bidi w:val="0"/>
        <w:spacing w:line="500" w:lineRule="exact"/>
        <w:rPr>
          <w:rFonts w:hint="eastAsia" w:ascii="仿宋_GB2312" w:hAnsi="仿宋_GB2312" w:eastAsia="仿宋_GB2312" w:cs="仿宋_GB2312"/>
          <w:color w:val="auto"/>
          <w:sz w:val="32"/>
          <w:szCs w:val="32"/>
        </w:rPr>
      </w:pPr>
    </w:p>
    <w:p w14:paraId="51A596F5">
      <w:pPr>
        <w:pStyle w:val="4"/>
        <w:keepNext w:val="0"/>
        <w:keepLines w:val="0"/>
        <w:pageBreakBefore w:val="0"/>
        <w:widowControl w:val="0"/>
        <w:kinsoku/>
        <w:wordWrap/>
        <w:overflowPunct/>
        <w:topLinePunct w:val="0"/>
        <w:bidi w:val="0"/>
        <w:snapToGrid/>
        <w:spacing w:line="520" w:lineRule="exact"/>
        <w:ind w:left="0"/>
        <w:textAlignment w:val="auto"/>
        <w:rPr>
          <w:rFonts w:ascii="Times New Roman" w:hAnsi="Times New Roman" w:eastAsia="仿宋_GB2312" w:cs="仿宋"/>
          <w:bCs/>
          <w:color w:val="auto"/>
          <w:sz w:val="44"/>
          <w:szCs w:val="44"/>
        </w:rPr>
      </w:pPr>
      <w:r>
        <w:rPr>
          <w:rFonts w:ascii="Times New Roman" w:hAnsi="Times New Roman" w:eastAsia="仿宋_GB2312"/>
          <w:color w:val="000000"/>
          <w:spacing w:val="0"/>
          <w:sz w:val="32"/>
          <w:u w:val="none"/>
        </w:rPr>
        <mc:AlternateContent>
          <mc:Choice Requires="wps">
            <w:drawing>
              <wp:anchor distT="0" distB="0" distL="114300" distR="114300" simplePos="0" relativeHeight="251661312"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1312;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000000"/>
          <w:spacing w:val="0"/>
          <w:sz w:val="32"/>
          <w:u w:val="none"/>
        </w:rPr>
        <w:t>（市场监督管理部门将依法向社会公开行政处罚决定信息）</w:t>
      </w:r>
    </w:p>
    <w:p w14:paraId="3CEFC53F">
      <w:pPr>
        <w:keepNext w:val="0"/>
        <w:keepLines w:val="0"/>
        <w:pageBreakBefore w:val="0"/>
        <w:widowControl w:val="0"/>
        <w:kinsoku/>
        <w:wordWrap/>
        <w:overflowPunct/>
        <w:topLinePunct w:val="0"/>
        <w:bidi w:val="0"/>
        <w:snapToGrid/>
        <w:spacing w:line="520" w:lineRule="exact"/>
        <w:ind w:left="0"/>
        <w:textAlignment w:val="auto"/>
        <w:rPr>
          <w:color w:val="auto"/>
        </w:rPr>
      </w:pPr>
      <w:r>
        <w:rPr>
          <w:rFonts w:hint="eastAsia" w:ascii="仿宋_GB2312" w:hAnsi="仿宋_GB2312" w:eastAsia="仿宋_GB2312" w:cs="仿宋_GB2312"/>
          <w:bCs/>
          <w:color w:val="000000"/>
          <w:sz w:val="32"/>
          <w:szCs w:val="32"/>
          <w:u w:val="none"/>
          <w:lang w:val="en-US" w:eastAsia="zh-CN"/>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r>
        <w:rPr>
          <w:rFonts w:hint="eastAsia" w:ascii="仿宋_GB2312" w:hAnsi="仿宋_GB2312" w:eastAsia="仿宋_GB2312" w:cs="仿宋_GB2312"/>
          <w:bCs/>
          <w:color w:val="000000"/>
          <w:sz w:val="32"/>
          <w:szCs w:val="32"/>
          <w:u w:val="none"/>
          <w:lang w:val="en-US" w:eastAsia="zh-CN"/>
        </w:rPr>
        <w:t>本文书一式三份，一份送达，一份归档，一份办案单位留存</w:t>
      </w:r>
      <w:r>
        <w:rPr>
          <w:rFonts w:hint="eastAsia" w:ascii="Times New Roman" w:hAnsi="Times New Roman" w:eastAsia="仿宋_GB2312" w:cs="仿宋"/>
          <w:color w:val="000000"/>
          <w:sz w:val="32"/>
          <w:szCs w:val="32"/>
          <w:u w:val="none"/>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E725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73C5D4">
                          <w:pPr>
                            <w:pStyle w:val="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73C5D4">
                    <w:pPr>
                      <w:pStyle w:val="5"/>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2</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3"/>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yM2U5YzI2ZWYzNzA3YjY5MWY2NDE1MjMyNWZjOTUifQ=="/>
    <w:docVar w:name="KSO_WPS_MARK_KEY" w:val="3a570657-d4b9-4633-8bde-b1be1a221b99"/>
  </w:docVars>
  <w:rsids>
    <w:rsidRoot w:val="5BA419F7"/>
    <w:rsid w:val="00193C35"/>
    <w:rsid w:val="0032134F"/>
    <w:rsid w:val="010A478A"/>
    <w:rsid w:val="02B83402"/>
    <w:rsid w:val="042774DD"/>
    <w:rsid w:val="044236A8"/>
    <w:rsid w:val="048D2705"/>
    <w:rsid w:val="04CD463F"/>
    <w:rsid w:val="04FA4431"/>
    <w:rsid w:val="05C51508"/>
    <w:rsid w:val="06476E0A"/>
    <w:rsid w:val="06BAE61F"/>
    <w:rsid w:val="071C7669"/>
    <w:rsid w:val="07580619"/>
    <w:rsid w:val="0776795A"/>
    <w:rsid w:val="07DA78EE"/>
    <w:rsid w:val="08365B64"/>
    <w:rsid w:val="087864F3"/>
    <w:rsid w:val="090B4D3A"/>
    <w:rsid w:val="09290BEC"/>
    <w:rsid w:val="09AA7B69"/>
    <w:rsid w:val="0A2F38BD"/>
    <w:rsid w:val="0A3665F0"/>
    <w:rsid w:val="0B22091D"/>
    <w:rsid w:val="0C8D4FCE"/>
    <w:rsid w:val="0CF71776"/>
    <w:rsid w:val="0D242541"/>
    <w:rsid w:val="0E542A90"/>
    <w:rsid w:val="0FB748D6"/>
    <w:rsid w:val="103E22C5"/>
    <w:rsid w:val="11524677"/>
    <w:rsid w:val="115320F9"/>
    <w:rsid w:val="119E3BCA"/>
    <w:rsid w:val="1350279A"/>
    <w:rsid w:val="14203063"/>
    <w:rsid w:val="143E1E38"/>
    <w:rsid w:val="1490670C"/>
    <w:rsid w:val="152E563E"/>
    <w:rsid w:val="15B93156"/>
    <w:rsid w:val="161939DD"/>
    <w:rsid w:val="16D23D7F"/>
    <w:rsid w:val="18325353"/>
    <w:rsid w:val="188449CB"/>
    <w:rsid w:val="18B229B2"/>
    <w:rsid w:val="19FE4517"/>
    <w:rsid w:val="1AE345F4"/>
    <w:rsid w:val="1B37398D"/>
    <w:rsid w:val="1C7339BB"/>
    <w:rsid w:val="1C7A5BA8"/>
    <w:rsid w:val="1E664711"/>
    <w:rsid w:val="1EC222D9"/>
    <w:rsid w:val="1F2B5D07"/>
    <w:rsid w:val="1FC004DE"/>
    <w:rsid w:val="1FD31F15"/>
    <w:rsid w:val="211014F1"/>
    <w:rsid w:val="212E3259"/>
    <w:rsid w:val="22287087"/>
    <w:rsid w:val="22AC04B1"/>
    <w:rsid w:val="237778B4"/>
    <w:rsid w:val="23F5677C"/>
    <w:rsid w:val="24626694"/>
    <w:rsid w:val="258D6CE0"/>
    <w:rsid w:val="27A45517"/>
    <w:rsid w:val="292572F7"/>
    <w:rsid w:val="2B1B3EFC"/>
    <w:rsid w:val="2B265158"/>
    <w:rsid w:val="2CEA3815"/>
    <w:rsid w:val="2DE10173"/>
    <w:rsid w:val="2F327E79"/>
    <w:rsid w:val="2F7CE1EF"/>
    <w:rsid w:val="2F8A6913"/>
    <w:rsid w:val="303803AA"/>
    <w:rsid w:val="30DB5683"/>
    <w:rsid w:val="30FA2F6D"/>
    <w:rsid w:val="31562B39"/>
    <w:rsid w:val="31BE0AF5"/>
    <w:rsid w:val="32CE76E8"/>
    <w:rsid w:val="3334290F"/>
    <w:rsid w:val="33740640"/>
    <w:rsid w:val="3585615B"/>
    <w:rsid w:val="363C12E3"/>
    <w:rsid w:val="368E5656"/>
    <w:rsid w:val="377FBB27"/>
    <w:rsid w:val="37F16547"/>
    <w:rsid w:val="38B63DA7"/>
    <w:rsid w:val="3930619F"/>
    <w:rsid w:val="39CB1823"/>
    <w:rsid w:val="3A4E178D"/>
    <w:rsid w:val="3B6F1E91"/>
    <w:rsid w:val="3BF97ECA"/>
    <w:rsid w:val="3C2965F0"/>
    <w:rsid w:val="3C5B6995"/>
    <w:rsid w:val="3D6B1177"/>
    <w:rsid w:val="3E5F4AE1"/>
    <w:rsid w:val="3E853745"/>
    <w:rsid w:val="3F2604DF"/>
    <w:rsid w:val="3F6783E4"/>
    <w:rsid w:val="3F842066"/>
    <w:rsid w:val="3FFF82D4"/>
    <w:rsid w:val="402E7C06"/>
    <w:rsid w:val="40FE5F8F"/>
    <w:rsid w:val="41DA208E"/>
    <w:rsid w:val="425049CE"/>
    <w:rsid w:val="442B16EC"/>
    <w:rsid w:val="458F64B9"/>
    <w:rsid w:val="45C51FFB"/>
    <w:rsid w:val="46157ACD"/>
    <w:rsid w:val="47243FC5"/>
    <w:rsid w:val="48C10000"/>
    <w:rsid w:val="49185CBF"/>
    <w:rsid w:val="49DA200F"/>
    <w:rsid w:val="4A555101"/>
    <w:rsid w:val="4A714DCF"/>
    <w:rsid w:val="4ADF49AE"/>
    <w:rsid w:val="4AF14F7F"/>
    <w:rsid w:val="4B8F0B22"/>
    <w:rsid w:val="4C02380F"/>
    <w:rsid w:val="4C7C04B3"/>
    <w:rsid w:val="4CBB04FE"/>
    <w:rsid w:val="4CC8271B"/>
    <w:rsid w:val="4D9306AE"/>
    <w:rsid w:val="4E8950D9"/>
    <w:rsid w:val="4F722566"/>
    <w:rsid w:val="4F93378A"/>
    <w:rsid w:val="503F09B5"/>
    <w:rsid w:val="516D5500"/>
    <w:rsid w:val="52802336"/>
    <w:rsid w:val="53A0483E"/>
    <w:rsid w:val="547C0750"/>
    <w:rsid w:val="55FE5622"/>
    <w:rsid w:val="57503162"/>
    <w:rsid w:val="58A4140A"/>
    <w:rsid w:val="591F0542"/>
    <w:rsid w:val="59A10938"/>
    <w:rsid w:val="5BA419F7"/>
    <w:rsid w:val="5BEF1DBF"/>
    <w:rsid w:val="5BF91583"/>
    <w:rsid w:val="5BFB2E57"/>
    <w:rsid w:val="5C5D2BD9"/>
    <w:rsid w:val="5DD7483B"/>
    <w:rsid w:val="5E5FAB03"/>
    <w:rsid w:val="5E605C94"/>
    <w:rsid w:val="5EA00CBE"/>
    <w:rsid w:val="5F3B52F7"/>
    <w:rsid w:val="5F9FEDD5"/>
    <w:rsid w:val="5FBEF003"/>
    <w:rsid w:val="5FE33914"/>
    <w:rsid w:val="5FFA4D85"/>
    <w:rsid w:val="602422E6"/>
    <w:rsid w:val="60B635F2"/>
    <w:rsid w:val="60BE4536"/>
    <w:rsid w:val="60C16F3B"/>
    <w:rsid w:val="60E115FE"/>
    <w:rsid w:val="612E7E8C"/>
    <w:rsid w:val="617678F3"/>
    <w:rsid w:val="61DC2B1A"/>
    <w:rsid w:val="636955DE"/>
    <w:rsid w:val="646E5E05"/>
    <w:rsid w:val="64E43803"/>
    <w:rsid w:val="657F58CB"/>
    <w:rsid w:val="66934D57"/>
    <w:rsid w:val="67BD5BDE"/>
    <w:rsid w:val="6AD7030F"/>
    <w:rsid w:val="6BA277B7"/>
    <w:rsid w:val="6BCC1BB9"/>
    <w:rsid w:val="6C6723F1"/>
    <w:rsid w:val="6CA517CF"/>
    <w:rsid w:val="6D064CEC"/>
    <w:rsid w:val="6D3C6C5F"/>
    <w:rsid w:val="6D6C7F13"/>
    <w:rsid w:val="6D923254"/>
    <w:rsid w:val="6DD2313B"/>
    <w:rsid w:val="6E04767D"/>
    <w:rsid w:val="6E355D52"/>
    <w:rsid w:val="6E6950E9"/>
    <w:rsid w:val="6ED952C0"/>
    <w:rsid w:val="6F013B3F"/>
    <w:rsid w:val="6F732ABB"/>
    <w:rsid w:val="6F8D5396"/>
    <w:rsid w:val="6FF58B64"/>
    <w:rsid w:val="6FF8F863"/>
    <w:rsid w:val="70CF02CA"/>
    <w:rsid w:val="70F532B7"/>
    <w:rsid w:val="71013020"/>
    <w:rsid w:val="710D7C3E"/>
    <w:rsid w:val="71FC56E7"/>
    <w:rsid w:val="727A2F1F"/>
    <w:rsid w:val="7376089F"/>
    <w:rsid w:val="74E06ABE"/>
    <w:rsid w:val="75B2DA43"/>
    <w:rsid w:val="75BD90DB"/>
    <w:rsid w:val="75CC41D0"/>
    <w:rsid w:val="75F8119D"/>
    <w:rsid w:val="76222141"/>
    <w:rsid w:val="76704CDE"/>
    <w:rsid w:val="76D869B3"/>
    <w:rsid w:val="76FD0A98"/>
    <w:rsid w:val="77DF8BD4"/>
    <w:rsid w:val="77EFD5CC"/>
    <w:rsid w:val="77FFADAC"/>
    <w:rsid w:val="7835649C"/>
    <w:rsid w:val="789620E4"/>
    <w:rsid w:val="78FD530C"/>
    <w:rsid w:val="79DD3968"/>
    <w:rsid w:val="7AFB4DD2"/>
    <w:rsid w:val="7B0F6E9A"/>
    <w:rsid w:val="7BA46A39"/>
    <w:rsid w:val="7BFD6076"/>
    <w:rsid w:val="7C8E43D6"/>
    <w:rsid w:val="7CFB347C"/>
    <w:rsid w:val="7D4A0835"/>
    <w:rsid w:val="7DA813EB"/>
    <w:rsid w:val="7DFF108F"/>
    <w:rsid w:val="7EED8AE6"/>
    <w:rsid w:val="7F5A6980"/>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styleId="4">
    <w:name w:val="Body Text"/>
    <w:basedOn w:val="1"/>
    <w:qFormat/>
    <w:uiPriority w:val="1"/>
    <w:pPr>
      <w:autoSpaceDE w:val="0"/>
      <w:autoSpaceDN w:val="0"/>
      <w:adjustRightInd w:val="0"/>
      <w:jc w:val="left"/>
    </w:pPr>
    <w:rPr>
      <w:rFonts w:ascii="Arial Unicode MS" w:hAnsi="Times New Roman" w:eastAsia="Arial Unicode MS"/>
      <w:kern w:val="0"/>
      <w:sz w:val="32"/>
      <w:szCs w:val="32"/>
    </w:rPr>
  </w:style>
  <w:style w:type="paragraph" w:styleId="5">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ac57c143-da12-46cc-a6d0-382101ba54fa</errorID>
      <errorWord>2026年06月02日</errorWord>
      <group>L1_Knowledge</group>
      <groupName>知识性问题</groupName>
      <ability>L2_Time</ability>
      <abilityName>日期时间</abilityName>
      <candidateList>
        <item>2026年6月2日</item>
      </candidateList>
      <explain>根据日常书写习惯，月份和日期一般会省略前导零。</explain>
      <paraID>28C2A719</paraID>
      <start>43</start>
      <end>52</end>
      <status>modified</status>
      <modifiedWord>2026年6月2日</modifiedWord>
      <trackRevisions>false</trackRevisions>
    </reviewItem>
    <reviewItem>
      <errorID>4e25d35b-7c18-4f10-ba70-a0f441bca234</errorID>
      <errorWord>下</errorWord>
      <group>L1_Word</group>
      <groupName>字词问题</groupName>
      <ability>L2_Typo</ability>
      <abilityName>字词错误</abilityName>
      <candidateList>
        <item>下简</item>
      </candidateList>
      <explain/>
      <paraID>6A9D35BF</paraID>
      <start>102</start>
      <end>103</end>
      <status>unmodified</status>
      <modifiedWord/>
      <trackRevisions>false</trackRevisions>
    </reviewItem>
    <reviewItem>
      <errorID>7dc60be4-d9b8-4b2c-b117-00620dc005d6</errorID>
      <errorWord>本案本案</errorWord>
      <group>L1_Word</group>
      <groupName>字词问题</groupName>
      <ability>L2_Typo</ability>
      <abilityName>字词错误</abilityName>
      <candidateList>
        <item>本案</item>
      </candidateList>
      <explain/>
      <paraID>2ACFB469</paraID>
      <start>113</start>
      <end>115</end>
      <status>modified</status>
      <modifiedWord>本案</modifiedWord>
      <trackRevisions>false</trackRevisions>
    </reviewItem>
    <reviewItem>
      <errorID>51f1542e-2f4b-44d7-abaa-1fe4a4c5d281</errorID>
      <errorWord>食品安全法</errorWord>
      <group>L1_Knowledge</group>
      <groupName>知识性问题</groupName>
      <ability>L2_Knowledge</ability>
      <abilityName>其他知识</abilityName>
      <candidateList>
        <item>中华人民共和国食品安全法</item>
      </candidateList>
      <explain>当前法律法规名称使用简称，请注意是否应当使用全称。</explain>
      <paraID>76E28118</paraID>
      <start>404</start>
      <end>409</end>
      <status>unmodified</status>
      <modifiedWord/>
      <trackRevisions>false</trackRevisions>
    </reviewItem>
    <reviewItem>
      <errorID>727f511e-d014-479b-bd61-cee04cb13c61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5BD25ADD</paraID>
      <start>81</start>
      <end>83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b9e79-69c4-481e-a508-eca2a858739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2660</Words>
  <Characters>2790</Characters>
  <Lines>0</Lines>
  <Paragraphs>0</Paragraphs>
  <TotalTime>22</TotalTime>
  <ScaleCrop>false</ScaleCrop>
  <LinksUpToDate>false</LinksUpToDate>
  <CharactersWithSpaces>2825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蕃蕃</cp:lastModifiedBy>
  <dcterms:modified xsi:type="dcterms:W3CDTF">2026-09-24T08:29:39Z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FA01B292CA2A458DBD0C35A9C4FFD88E_13</vt:lpwstr>
  </property>
  <property fmtid="{D5CDD505-2E9C-101B-9397-08002B2CF9AE}" pid="4" name="KSOTemplateDocerSaveRecord">
    <vt:lpwstr>eyJoZGlkIjoiNjljYzBiNmJkNjNmYjA3MDkwNzQ4ZTM5NDc1MTY5NDgiLCJ1c2VySWQiOiI5MTQwNjk2NTMifQ==</vt:lpwstr>
  </property>
</Properties>
</file>