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D70AF">
      <w:pPr>
        <w:jc w:val="center"/>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3E7E3E6A">
      <w:pPr>
        <w:pStyle w:val="2"/>
        <w:keepNext w:val="0"/>
        <w:numPr>
          <w:ilvl w:val="0"/>
          <w:numId w:val="2"/>
        </w:numPr>
        <w:spacing w:before="0" w:after="0" w:line="64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543CBB70">
      <w:pPr>
        <w:widowControl/>
        <w:snapToGrid w:val="0"/>
        <w:spacing w:line="560" w:lineRule="exact"/>
        <w:ind w:right="55"/>
        <w:jc w:val="center"/>
        <w:outlineLvl w:val="1"/>
        <w:rPr>
          <w:rFonts w:hint="default" w:ascii="Times New Roman" w:hAnsi="Times New Roman" w:eastAsia="仿宋_GB2312" w:cs="Times New Roman"/>
          <w:bCs/>
          <w:color w:val="auto"/>
          <w:sz w:val="32"/>
          <w:szCs w:val="32"/>
        </w:rPr>
      </w:pPr>
      <w:bookmarkStart w:id="2" w:name="tAj_wh"/>
      <w:r>
        <w:rPr>
          <w:rFonts w:hint="default" w:ascii="Times New Roman" w:hAnsi="Times New Roman" w:eastAsia="仿宋_GB2312" w:cs="Times New Roman"/>
          <w:color w:val="auto"/>
          <w:sz w:val="32"/>
          <w:u w:val="none"/>
        </w:rPr>
        <w:t>柳北市监处罚〔2026〕</w:t>
      </w:r>
      <w:r>
        <w:rPr>
          <w:rFonts w:hint="default" w:ascii="Times New Roman" w:hAnsi="Times New Roman" w:eastAsia="仿宋_GB2312" w:cs="Times New Roman"/>
          <w:color w:val="auto"/>
          <w:sz w:val="32"/>
          <w:u w:val="none"/>
          <w:lang w:val="en-US" w:eastAsia="zh-CN"/>
        </w:rPr>
        <w:t>H092401</w:t>
      </w:r>
      <w:r>
        <w:rPr>
          <w:rFonts w:hint="default" w:ascii="Times New Roman" w:hAnsi="Times New Roman" w:eastAsia="仿宋_GB2312" w:cs="Times New Roman"/>
          <w:color w:val="auto"/>
          <w:sz w:val="32"/>
          <w:u w:val="none"/>
        </w:rPr>
        <w:t>号</w:t>
      </w:r>
      <w:bookmarkEnd w:id="2"/>
    </w:p>
    <w:p w14:paraId="353AA26D">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u w:val="none"/>
          <w:lang w:eastAsia="zh-CN"/>
        </w:rPr>
        <w:t>当事人：</w:t>
      </w:r>
      <w:r>
        <w:rPr>
          <w:rFonts w:hint="default" w:ascii="Times New Roman" w:hAnsi="Times New Roman" w:eastAsia="仿宋_GB2312" w:cs="Times New Roman"/>
          <w:color w:val="auto"/>
          <w:sz w:val="32"/>
          <w:szCs w:val="32"/>
          <w:u w:val="none"/>
        </w:rPr>
        <w:t>广西柳州市运柳餐饮有限责任公司</w:t>
      </w:r>
    </w:p>
    <w:p w14:paraId="0E833B58">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主体资格证照名称：</w:t>
      </w:r>
      <w:r>
        <w:rPr>
          <w:rFonts w:hint="default" w:ascii="Times New Roman" w:hAnsi="Times New Roman" w:eastAsia="仿宋_GB2312" w:cs="Times New Roman"/>
          <w:b w:val="0"/>
          <w:bCs w:val="0"/>
          <w:color w:val="auto"/>
          <w:sz w:val="32"/>
          <w:szCs w:val="32"/>
          <w:u w:val="none"/>
          <w:lang w:val="en-US" w:eastAsia="zh-CN"/>
        </w:rPr>
        <w:t>营业执照</w:t>
      </w:r>
    </w:p>
    <w:p w14:paraId="70F7CD26">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eastAsia="zh-CN"/>
        </w:rPr>
        <w:t>统一社会信用代码</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bCs/>
          <w:color w:val="auto"/>
          <w:kern w:val="2"/>
          <w:sz w:val="32"/>
          <w:szCs w:val="32"/>
          <w:lang w:val="en-US" w:eastAsia="zh-CN" w:bidi="ar-SA"/>
        </w:rPr>
        <w:t>91450205MAD6B6491C</w:t>
      </w:r>
    </w:p>
    <w:p w14:paraId="0F4777A1">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color w:val="auto"/>
          <w:sz w:val="32"/>
          <w:szCs w:val="32"/>
          <w:u w:val="none"/>
          <w:lang w:val="en-US" w:eastAsia="zh-CN"/>
        </w:rPr>
        <w:t>住所：</w:t>
      </w:r>
      <w:r>
        <w:rPr>
          <w:rFonts w:hint="default" w:ascii="Times New Roman" w:hAnsi="Times New Roman" w:eastAsia="仿宋_GB2312" w:cs="Times New Roman"/>
          <w:bCs/>
          <w:color w:val="auto"/>
          <w:kern w:val="2"/>
          <w:sz w:val="32"/>
          <w:szCs w:val="32"/>
          <w:lang w:val="en-US" w:eastAsia="zh-CN" w:bidi="ar-SA"/>
        </w:rPr>
        <w:t>柳州市柳北区友谊路1号柳州饭店会展中心1楼亿扒房餐厅（含会展中心4楼厨房）</w:t>
      </w:r>
    </w:p>
    <w:p w14:paraId="634B9545">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法定代表人：吴春花</w:t>
      </w:r>
    </w:p>
    <w:p w14:paraId="35DE18AC">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身份证</w:t>
      </w:r>
      <w:r>
        <w:rPr>
          <w:rFonts w:hint="default" w:ascii="Times New Roman" w:hAnsi="Times New Roman" w:eastAsia="仿宋_GB2312" w:cs="Times New Roman"/>
          <w:b w:val="0"/>
          <w:bCs w:val="0"/>
          <w:color w:val="auto"/>
          <w:sz w:val="32"/>
          <w:szCs w:val="32"/>
          <w:u w:val="none"/>
          <w:lang w:val="en-US" w:eastAsia="zh-CN"/>
        </w:rPr>
        <w:t>件</w:t>
      </w:r>
      <w:r>
        <w:rPr>
          <w:rFonts w:hint="default" w:ascii="Times New Roman" w:hAnsi="Times New Roman" w:eastAsia="仿宋_GB2312" w:cs="Times New Roman"/>
          <w:b w:val="0"/>
          <w:bCs w:val="0"/>
          <w:color w:val="auto"/>
          <w:sz w:val="32"/>
          <w:szCs w:val="32"/>
          <w:u w:val="none"/>
          <w:lang w:eastAsia="zh-CN"/>
        </w:rPr>
        <w:t>号码：</w:t>
      </w:r>
      <w:r>
        <w:rPr>
          <w:rFonts w:hint="eastAsia" w:ascii="Times New Roman" w:hAnsi="Times New Roman" w:eastAsia="仿宋_GB2312" w:cs="Times New Roman"/>
          <w:bCs/>
          <w:color w:val="auto"/>
          <w:kern w:val="2"/>
          <w:sz w:val="32"/>
          <w:szCs w:val="32"/>
          <w:lang w:val="en-US" w:eastAsia="zh-CN" w:bidi="ar-SA"/>
        </w:rPr>
        <w:t>*</w:t>
      </w:r>
    </w:p>
    <w:p w14:paraId="379B217A">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lang w:val="en-US" w:eastAsia="zh-CN"/>
        </w:rPr>
      </w:pPr>
    </w:p>
    <w:p w14:paraId="0F14BE27">
      <w:pPr>
        <w:pStyle w:val="9"/>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kern w:val="2"/>
          <w:sz w:val="32"/>
          <w:szCs w:val="32"/>
          <w:lang w:val="en-US" w:eastAsia="zh-CN" w:bidi="ar-SA"/>
        </w:rPr>
        <w:t>2025年7月17日我局收到举报人举报称其于2025年7月16日在当事人处花费688元购买了1瓶没有中文标签的帕图诗歌珍藏干红葡萄酒。接到举报后执法人员对当事人进行现场检查，发现当事人在2025年7月16日确实销售了1瓶帕图诗歌珍藏干红葡萄酒。当事人的上述行为涉嫌违反《中华人民共和国食品安全法》</w:t>
      </w:r>
      <w:r>
        <w:rPr>
          <w:rFonts w:hint="default" w:ascii="Times New Roman" w:hAnsi="Times New Roman" w:eastAsia="仿宋_GB2312" w:cs="Times New Roman"/>
          <w:color w:val="auto"/>
          <w:sz w:val="32"/>
          <w:szCs w:val="32"/>
          <w:u w:val="none"/>
          <w:lang w:val="en-US" w:eastAsia="zh-CN"/>
        </w:rPr>
        <w:t>第</w:t>
      </w:r>
      <w:r>
        <w:rPr>
          <w:rFonts w:hint="default" w:ascii="Times New Roman" w:hAnsi="Times New Roman" w:eastAsia="仿宋_GB2312" w:cs="Times New Roman"/>
          <w:bCs/>
          <w:color w:val="auto"/>
          <w:kern w:val="2"/>
          <w:sz w:val="32"/>
          <w:szCs w:val="32"/>
          <w:lang w:val="en-US" w:eastAsia="zh-CN" w:bidi="ar-SA"/>
        </w:rPr>
        <w:t>九十七条之规定，我局于2025年8月7日对当事人涉嫌经营没有中文标签的进口预包装食品进行立案调查。</w:t>
      </w:r>
    </w:p>
    <w:p w14:paraId="18D4F932">
      <w:pPr>
        <w:pStyle w:val="9"/>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经查实，当事人以</w:t>
      </w:r>
      <w:r>
        <w:rPr>
          <w:rFonts w:hint="eastAsia" w:ascii="Times New Roman" w:hAnsi="Times New Roman"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元/瓶的价格购进6瓶爱夏酒庄帕图诗珍藏干红葡萄酒，销售单价688元/瓶。2025年7月16日销售的1瓶上述葡萄酒因无中文标签被举报人举报至我局。2025年7月17日我局执法人员到当事人处检查时当事人在售的3瓶上述葡萄酒均张贴有中文标签；查看当事人提供的监控视频和举报人消费时拍摄的视频发现2025年7月16日当事人销售给举报人的葡萄酒确无中文标签标识，货值金额688元，所获利润338元。</w:t>
      </w:r>
    </w:p>
    <w:p w14:paraId="719DA3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另查实，当事人在购进上述食品</w:t>
      </w:r>
      <w:bookmarkStart w:id="3" w:name="OLE_LINK8"/>
      <w:r>
        <w:rPr>
          <w:rFonts w:hint="default" w:ascii="Times New Roman" w:hAnsi="Times New Roman" w:eastAsia="仿宋_GB2312" w:cs="Times New Roman"/>
          <w:bCs/>
          <w:color w:val="auto"/>
          <w:kern w:val="2"/>
          <w:sz w:val="32"/>
          <w:szCs w:val="32"/>
          <w:lang w:val="en-US" w:eastAsia="zh-CN" w:bidi="ar-SA"/>
        </w:rPr>
        <w:t>时未查验供货商资质，也未保存进货单等相关凭证。</w:t>
      </w:r>
    </w:p>
    <w:bookmarkEnd w:id="3"/>
    <w:p w14:paraId="373150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上述事实，主要有以下证据证明：</w:t>
      </w:r>
    </w:p>
    <w:p w14:paraId="12F5FD27">
      <w:pPr>
        <w:pStyle w:val="9"/>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1.《营业执照》复印件1份、《食品经营许可证》复印件1份、吴春花的身份证复印件1份、黄满英的身份证复印件1份、授权委托书1份，证明当事人的信息和委托人的信息。</w:t>
      </w:r>
    </w:p>
    <w:p w14:paraId="2C1C8033">
      <w:pPr>
        <w:pStyle w:val="9"/>
        <w:keepNext w:val="0"/>
        <w:keepLines w:val="0"/>
        <w:pageBreakBefore w:val="0"/>
        <w:widowControl w:val="0"/>
        <w:numPr>
          <w:ilvl w:val="0"/>
          <w:numId w:val="0"/>
        </w:numPr>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2.现场检查笔录1份、询问笔录</w:t>
      </w:r>
      <w:r>
        <w:rPr>
          <w:rFonts w:hint="default" w:ascii="Times New Roman" w:hAnsi="Times New Roman" w:eastAsia="仿宋_GB2312" w:cs="Times New Roman"/>
          <w:bCs/>
          <w:color w:val="auto"/>
          <w:kern w:val="2"/>
          <w:sz w:val="32"/>
          <w:szCs w:val="32"/>
          <w:highlight w:val="none"/>
          <w:lang w:val="en-US" w:eastAsia="zh-CN" w:bidi="ar-SA"/>
        </w:rPr>
        <w:t>2份</w:t>
      </w:r>
      <w:r>
        <w:rPr>
          <w:rFonts w:hint="default" w:ascii="Times New Roman" w:hAnsi="Times New Roman" w:eastAsia="仿宋_GB2312" w:cs="Times New Roman"/>
          <w:bCs/>
          <w:color w:val="auto"/>
          <w:kern w:val="2"/>
          <w:sz w:val="32"/>
          <w:szCs w:val="32"/>
          <w:lang w:val="en-US" w:eastAsia="zh-CN" w:bidi="ar-SA"/>
        </w:rPr>
        <w:t>、《入境货物检验检疫证明》和《海关进口货物报关单》复印件1份、证据提取单7份、当事人提供的爱夏酒庄帕图诗珍藏干红葡萄酒的照片1份，当事人的监控视频和举报人消费时拍摄的视频制成的光盘1张，证明当事人2025年7月16日销售给举报人无中文标签标识的葡萄酒的事实，以及当事人在购进上述食品时未查验供货商资质，也未保存进货单等相关凭证的事实。</w:t>
      </w:r>
    </w:p>
    <w:p w14:paraId="59A26A8D">
      <w:pPr>
        <w:pStyle w:val="9"/>
        <w:keepNext w:val="0"/>
        <w:keepLines w:val="0"/>
        <w:pageBreakBefore w:val="0"/>
        <w:widowControl w:val="0"/>
        <w:numPr>
          <w:ilvl w:val="0"/>
          <w:numId w:val="0"/>
        </w:numPr>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3.投诉单1份，证明本案线索来源情况。</w:t>
      </w:r>
    </w:p>
    <w:p w14:paraId="6538EF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以上证据均由当事人或委托人签名认可。</w:t>
      </w:r>
    </w:p>
    <w:p w14:paraId="7BD6FE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我局于2026年9月15日向当事人送达了《行政处罚告知书》（柳北市监罚告〔2026〕H091501号），告知当事人我局拟作出行政处罚的事实、理由、依据、处罚内容及享有的权利。当事人在法定期限内未提出陈述、申辩。</w:t>
      </w:r>
    </w:p>
    <w:p w14:paraId="6E15F9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u w:val="none"/>
          <w:lang w:val="en-US" w:eastAsia="zh-CN"/>
        </w:rPr>
      </w:pPr>
      <w:bookmarkStart w:id="4" w:name="OLE_LINK9"/>
      <w:r>
        <w:rPr>
          <w:rFonts w:hint="default" w:ascii="Times New Roman" w:hAnsi="Times New Roman" w:eastAsia="仿宋_GB2312" w:cs="Times New Roman"/>
          <w:bCs/>
          <w:color w:val="auto"/>
          <w:sz w:val="32"/>
          <w:szCs w:val="32"/>
          <w:lang w:val="en-US" w:eastAsia="zh-CN"/>
        </w:rPr>
        <w:t>当事人</w:t>
      </w:r>
      <w:r>
        <w:rPr>
          <w:rFonts w:hint="default" w:ascii="Times New Roman" w:hAnsi="Times New Roman" w:eastAsia="仿宋_GB2312" w:cs="Times New Roman"/>
          <w:bCs/>
          <w:color w:val="auto"/>
          <w:kern w:val="2"/>
          <w:sz w:val="32"/>
          <w:szCs w:val="32"/>
          <w:lang w:val="en-US" w:eastAsia="zh-CN" w:bidi="ar-SA"/>
        </w:rPr>
        <w:t>经营没有中文标签的爱夏酒庄帕图诗珍藏干红葡萄酒</w:t>
      </w:r>
      <w:r>
        <w:rPr>
          <w:rFonts w:hint="default" w:ascii="Times New Roman" w:hAnsi="Times New Roman" w:eastAsia="仿宋_GB2312" w:cs="Times New Roman"/>
          <w:bCs/>
          <w:color w:val="auto"/>
          <w:sz w:val="32"/>
          <w:szCs w:val="32"/>
          <w:lang w:val="en-US" w:eastAsia="zh-CN"/>
        </w:rPr>
        <w:t>的行为，违反</w:t>
      </w:r>
      <w:r>
        <w:rPr>
          <w:rFonts w:hint="default" w:ascii="Times New Roman" w:hAnsi="Times New Roman" w:eastAsia="仿宋_GB2312" w:cs="Times New Roman"/>
          <w:bCs/>
          <w:color w:val="auto"/>
          <w:sz w:val="32"/>
          <w:szCs w:val="32"/>
          <w:u w:val="none"/>
          <w:lang w:val="en-US" w:eastAsia="zh-CN"/>
        </w:rPr>
        <w:t>了</w:t>
      </w:r>
      <w:r>
        <w:rPr>
          <w:rFonts w:hint="default" w:ascii="Times New Roman" w:hAnsi="Times New Roman" w:eastAsia="仿宋_GB2312" w:cs="Times New Roman"/>
          <w:color w:val="auto"/>
          <w:sz w:val="32"/>
          <w:szCs w:val="32"/>
          <w:u w:val="none"/>
          <w:lang w:val="en-US" w:eastAsia="zh-CN"/>
        </w:rPr>
        <w:t>《中华人民共和国食品安全法》第九十七条“ 进口的预包装食品、食品添加剂应当有中文标签；依法应当有说明书的，还应当有中文说明书。标签、说明书应当符合本法以及我国其他有关法律、行政法规的规定和食品安全国家标准的要求，并载明食品的原产地以及境内代理商的名称、地址、联系方式。预包装食品没有中文标签、中文说明书或者标签、说明书不符合本条规定的，不得进口。”的规定</w:t>
      </w:r>
      <w:r>
        <w:rPr>
          <w:rFonts w:hint="default" w:ascii="Times New Roman" w:hAnsi="Times New Roman" w:eastAsia="仿宋_GB2312" w:cs="Times New Roman"/>
          <w:bCs/>
          <w:color w:val="auto"/>
          <w:sz w:val="32"/>
          <w:szCs w:val="32"/>
          <w:u w:val="none"/>
          <w:lang w:val="en-US" w:eastAsia="zh-CN"/>
        </w:rPr>
        <w:t>，属于</w:t>
      </w:r>
      <w:r>
        <w:rPr>
          <w:rFonts w:hint="default" w:ascii="Times New Roman" w:hAnsi="Times New Roman" w:eastAsia="仿宋_GB2312" w:cs="Times New Roman"/>
          <w:bCs/>
          <w:color w:val="auto"/>
          <w:sz w:val="32"/>
          <w:szCs w:val="32"/>
          <w:lang w:val="en-US" w:eastAsia="zh-CN"/>
        </w:rPr>
        <w:t>经营</w:t>
      </w:r>
      <w:r>
        <w:rPr>
          <w:rFonts w:hint="default" w:ascii="Times New Roman" w:hAnsi="Times New Roman" w:eastAsia="仿宋_GB2312" w:cs="Times New Roman"/>
          <w:bCs/>
          <w:color w:val="auto"/>
          <w:kern w:val="2"/>
          <w:sz w:val="32"/>
          <w:szCs w:val="32"/>
          <w:lang w:val="en-US" w:eastAsia="zh-CN" w:bidi="ar-SA"/>
        </w:rPr>
        <w:t>没有中文标签的进口预包装食品</w:t>
      </w:r>
      <w:r>
        <w:rPr>
          <w:rFonts w:hint="default" w:ascii="Times New Roman" w:hAnsi="Times New Roman" w:eastAsia="仿宋_GB2312" w:cs="Times New Roman"/>
          <w:bCs/>
          <w:color w:val="auto"/>
          <w:sz w:val="32"/>
          <w:szCs w:val="32"/>
          <w:lang w:val="en-US" w:eastAsia="zh-CN"/>
        </w:rPr>
        <w:t>的</w:t>
      </w:r>
      <w:r>
        <w:rPr>
          <w:rFonts w:hint="default" w:ascii="Times New Roman" w:hAnsi="Times New Roman" w:eastAsia="仿宋_GB2312" w:cs="Times New Roman"/>
          <w:bCs/>
          <w:color w:val="auto"/>
          <w:sz w:val="32"/>
          <w:szCs w:val="32"/>
          <w:u w:val="none"/>
          <w:lang w:val="en-US" w:eastAsia="zh-CN"/>
        </w:rPr>
        <w:t>行为，货值金额699元，</w:t>
      </w:r>
      <w:r>
        <w:rPr>
          <w:rFonts w:hint="default" w:ascii="Times New Roman" w:hAnsi="Times New Roman" w:eastAsia="仿宋_GB2312" w:cs="Times New Roman"/>
          <w:bCs/>
          <w:color w:val="auto"/>
          <w:kern w:val="2"/>
          <w:sz w:val="32"/>
          <w:szCs w:val="32"/>
          <w:u w:val="none"/>
          <w:lang w:val="en-US" w:eastAsia="zh-CN" w:bidi="ar-SA"/>
        </w:rPr>
        <w:t>违法所得338元</w:t>
      </w:r>
      <w:r>
        <w:rPr>
          <w:rFonts w:hint="default" w:ascii="Times New Roman" w:hAnsi="Times New Roman" w:eastAsia="仿宋_GB2312" w:cs="Times New Roman"/>
          <w:bCs/>
          <w:color w:val="auto"/>
          <w:sz w:val="32"/>
          <w:szCs w:val="32"/>
          <w:u w:val="none"/>
          <w:lang w:val="en-US" w:eastAsia="zh-CN"/>
        </w:rPr>
        <w:t>。</w:t>
      </w:r>
    </w:p>
    <w:p w14:paraId="75598A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color w:val="auto"/>
          <w:sz w:val="32"/>
          <w:szCs w:val="32"/>
          <w:lang w:val="en-US" w:eastAsia="zh-CN"/>
        </w:rPr>
        <w:t>当事人在</w:t>
      </w:r>
      <w:r>
        <w:rPr>
          <w:rFonts w:hint="default" w:ascii="Times New Roman" w:hAnsi="Times New Roman" w:eastAsia="仿宋_GB2312" w:cs="Times New Roman"/>
          <w:bCs/>
          <w:color w:val="auto"/>
          <w:kern w:val="2"/>
          <w:sz w:val="32"/>
          <w:szCs w:val="32"/>
          <w:lang w:val="en-US" w:eastAsia="zh-CN" w:bidi="ar-SA"/>
        </w:rPr>
        <w:t>购进上述食品时未查验供货商资质，也未保存进货单等相关凭证的</w:t>
      </w:r>
      <w:r>
        <w:rPr>
          <w:rFonts w:hint="default" w:ascii="Times New Roman" w:hAnsi="Times New Roman" w:eastAsia="仿宋_GB2312" w:cs="Times New Roman"/>
          <w:bCs/>
          <w:color w:val="auto"/>
          <w:sz w:val="32"/>
          <w:szCs w:val="32"/>
          <w:lang w:val="en-US" w:eastAsia="zh-CN"/>
        </w:rPr>
        <w:t>的行为，违反了《中华人民共和国食品安全法》第五十三条第二款“ 食品经营企业应当建立食品进货查验记录制度，如实记录食品的名称、规格、数量、生产日期或者生产批号、保质期、进货日期以及供货者名称、地址、联系方式等内容，并保存相关凭证。记录和凭证保存期限应当符合本法第五十条第二款的规定。”的规定，属于未按规定履行进货查验记录制度的行为。</w:t>
      </w:r>
    </w:p>
    <w:bookmarkEnd w:id="4"/>
    <w:p w14:paraId="73B362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鉴于在案件调查过程中当事人积极配合调查</w:t>
      </w:r>
      <w:r>
        <w:rPr>
          <w:rFonts w:hint="default" w:ascii="Times New Roman" w:hAnsi="Times New Roman" w:eastAsia="仿宋_GB2312" w:cs="Times New Roman"/>
          <w:bCs/>
          <w:color w:val="auto"/>
          <w:sz w:val="32"/>
          <w:szCs w:val="32"/>
          <w:highlight w:val="none"/>
          <w:u w:val="none"/>
          <w:lang w:val="en-US" w:eastAsia="zh-CN"/>
        </w:rPr>
        <w:t>并主动提供相关证据材料</w:t>
      </w:r>
      <w:r>
        <w:rPr>
          <w:rFonts w:hint="default" w:ascii="Times New Roman" w:hAnsi="Times New Roman" w:eastAsia="仿宋_GB2312" w:cs="Times New Roman"/>
          <w:bCs/>
          <w:color w:val="auto"/>
          <w:sz w:val="32"/>
          <w:szCs w:val="32"/>
          <w:lang w:val="en-US" w:eastAsia="zh-CN"/>
        </w:rPr>
        <w:t>，如实陈述其违法行为，</w:t>
      </w:r>
      <w:r>
        <w:rPr>
          <w:rFonts w:hint="default" w:ascii="Times New Roman" w:hAnsi="Times New Roman" w:eastAsia="仿宋_GB2312" w:cs="Times New Roman"/>
          <w:color w:val="auto"/>
          <w:sz w:val="32"/>
          <w:szCs w:val="32"/>
          <w:highlight w:val="none"/>
          <w:u w:val="none"/>
          <w:lang w:val="en-US" w:eastAsia="zh-CN"/>
        </w:rPr>
        <w:t>未造成食品安全事故等人身危害后果，违法货值金额699元，</w:t>
      </w:r>
      <w:r>
        <w:rPr>
          <w:rFonts w:hint="default" w:ascii="Times New Roman" w:hAnsi="Times New Roman" w:eastAsia="仿宋_GB2312" w:cs="Times New Roman"/>
          <w:bCs/>
          <w:color w:val="auto"/>
          <w:sz w:val="32"/>
          <w:szCs w:val="32"/>
          <w:highlight w:val="none"/>
          <w:u w:val="none"/>
          <w:lang w:val="en-US" w:eastAsia="zh-CN"/>
        </w:rPr>
        <w:t>参照市场监管总局《关于规范市场监督管理行政处罚裁量权的指导意见》第十四条第二项“有下列情形之一的，可以依法从轻或者减轻行政处罚：（二）积极配合市场监管部门调查并主动提供证据材料的；”、</w:t>
      </w:r>
      <w:r>
        <w:rPr>
          <w:rFonts w:hint="default" w:ascii="Times New Roman" w:hAnsi="Times New Roman" w:eastAsia="仿宋_GB2312" w:cs="Times New Roman"/>
          <w:bCs/>
          <w:color w:val="auto"/>
          <w:sz w:val="32"/>
          <w:szCs w:val="32"/>
          <w:highlight w:val="none"/>
          <w:lang w:val="en-US" w:eastAsia="zh-CN"/>
        </w:rPr>
        <w:t>《广西壮族自治区市场监督管理行政处罚裁量权适用规定》第十二条第一款第二项“有下列情形之一的，可以依法从轻或者减轻行政处罚：（二）积极配合市场监管部门调查并主动提供证据材料的；”</w:t>
      </w:r>
      <w:r>
        <w:rPr>
          <w:rFonts w:hint="default" w:ascii="Times New Roman" w:hAnsi="Times New Roman" w:eastAsia="仿宋_GB2312" w:cs="Times New Roman"/>
          <w:bCs/>
          <w:color w:val="auto"/>
          <w:sz w:val="32"/>
          <w:szCs w:val="32"/>
          <w:highlight w:val="none"/>
          <w:u w:val="none"/>
          <w:lang w:val="en-US" w:eastAsia="zh-CN"/>
        </w:rPr>
        <w:t>、</w:t>
      </w:r>
      <w:r>
        <w:rPr>
          <w:rFonts w:hint="default" w:ascii="Times New Roman" w:hAnsi="Times New Roman" w:eastAsia="仿宋_GB2312" w:cs="Times New Roman"/>
          <w:color w:val="auto"/>
          <w:sz w:val="32"/>
          <w:szCs w:val="32"/>
          <w:lang w:val="en-US" w:eastAsia="zh-CN"/>
        </w:rPr>
        <w:t>《广西壮族自治区市场监督管理行政处罚裁量基准（2023 版）》中《食品安全法》行政处罚裁量基准“没收违法所得和违法生产经营的食品、食品添加剂，并可以没收用于违法生产经营的工具、设备、原料等物品；并处5000元以下罚款。”减轻处罚适用情形“未造成食品安全事故等人身危害后果且有下列情形之一的：1.产品未销售；或者产品已经销售且货值金额不足3000元；”的规定。</w:t>
      </w:r>
      <w:r>
        <w:rPr>
          <w:rFonts w:hint="default" w:ascii="Times New Roman" w:hAnsi="Times New Roman" w:eastAsia="仿宋_GB2312" w:cs="Times New Roman"/>
          <w:bCs/>
          <w:color w:val="auto"/>
          <w:sz w:val="32"/>
          <w:szCs w:val="32"/>
          <w:highlight w:val="none"/>
          <w:u w:val="none"/>
          <w:lang w:val="en-US" w:eastAsia="zh-CN"/>
        </w:rPr>
        <w:t>依据</w:t>
      </w:r>
      <w:r>
        <w:rPr>
          <w:rFonts w:hint="default" w:ascii="Times New Roman" w:hAnsi="Times New Roman" w:eastAsia="仿宋_GB2312" w:cs="Times New Roman"/>
          <w:bCs/>
          <w:strike w:val="0"/>
          <w:dstrike w:val="0"/>
          <w:color w:val="auto"/>
          <w:kern w:val="2"/>
          <w:sz w:val="32"/>
          <w:szCs w:val="32"/>
          <w:highlight w:val="none"/>
          <w:lang w:val="en-US" w:eastAsia="zh-CN" w:bidi="ar-SA"/>
        </w:rPr>
        <w:t>《中华人民共和国行政处罚法》第五条“行政处罚遵循公正、公开的原则。</w: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begin"/>
      </w:r>
      <w:r>
        <w:rPr>
          <w:rFonts w:hint="default" w:ascii="Times New Roman" w:hAnsi="Times New Roman" w:eastAsia="仿宋_GB2312" w:cs="Times New Roman"/>
          <w:bCs/>
          <w:strike w:val="0"/>
          <w:dstrike w:val="0"/>
          <w:color w:val="auto"/>
          <w:kern w:val="2"/>
          <w:sz w:val="32"/>
          <w:szCs w:val="32"/>
          <w:highlight w:val="none"/>
          <w:lang w:val="en-US" w:eastAsia="zh-CN" w:bidi="ar-SA"/>
        </w:rPr>
        <w:instrText xml:space="preserve"> HYPERLINK "javascript:void(0);" </w:instrTex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separate"/>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end"/>
      </w:r>
      <w:bookmarkStart w:id="5" w:name="tiao_5_kuan_2"/>
      <w:bookmarkEnd w:id="5"/>
      <w:r>
        <w:rPr>
          <w:rFonts w:hint="default" w:ascii="Times New Roman" w:hAnsi="Times New Roman" w:eastAsia="仿宋_GB2312" w:cs="Times New Roman"/>
          <w:bCs/>
          <w:strike w:val="0"/>
          <w:dstrike w:val="0"/>
          <w:color w:val="auto"/>
          <w:kern w:val="2"/>
          <w:sz w:val="32"/>
          <w:szCs w:val="32"/>
          <w:highlight w:val="none"/>
          <w:lang w:val="en-US" w:eastAsia="zh-CN" w:bidi="ar-SA"/>
        </w:rPr>
        <w:t>设定和实施行政处罚必须以事实为依据，与违法行为的事实、性质、情节以及社会危害程度相当。</w: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begin"/>
      </w:r>
      <w:r>
        <w:rPr>
          <w:rFonts w:hint="default" w:ascii="Times New Roman" w:hAnsi="Times New Roman" w:eastAsia="仿宋_GB2312" w:cs="Times New Roman"/>
          <w:bCs/>
          <w:strike w:val="0"/>
          <w:dstrike w:val="0"/>
          <w:color w:val="auto"/>
          <w:kern w:val="2"/>
          <w:sz w:val="32"/>
          <w:szCs w:val="32"/>
          <w:highlight w:val="none"/>
          <w:lang w:val="en-US" w:eastAsia="zh-CN" w:bidi="ar-SA"/>
        </w:rPr>
        <w:instrText xml:space="preserve"> HYPERLINK "javascript:void(0);" </w:instrTex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separate"/>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end"/>
      </w:r>
      <w:bookmarkStart w:id="6" w:name="tiao_5_kuan_3"/>
      <w:bookmarkEnd w:id="6"/>
      <w:r>
        <w:rPr>
          <w:rFonts w:hint="default" w:ascii="Times New Roman" w:hAnsi="Times New Roman" w:eastAsia="仿宋_GB2312" w:cs="Times New Roman"/>
          <w:bCs/>
          <w:strike w:val="0"/>
          <w:dstrike w:val="0"/>
          <w:color w:val="auto"/>
          <w:kern w:val="2"/>
          <w:sz w:val="32"/>
          <w:szCs w:val="32"/>
          <w:highlight w:val="none"/>
          <w:lang w:val="en-US" w:eastAsia="zh-CN" w:bidi="ar-SA"/>
        </w:rPr>
        <w:t>对违法行为给予行政处罚的规定必须公布；未经公布的，不得作为行政处罚的依据”、第六条“实施行政处罚，纠正违法行为，应当坚持处罚与教育相结合，教育公民、法人或者其他组织自觉守法。”的规定</w:t>
      </w:r>
      <w:r>
        <w:rPr>
          <w:rFonts w:hint="default" w:ascii="Times New Roman" w:hAnsi="Times New Roman" w:eastAsia="仿宋_GB2312" w:cs="Times New Roman"/>
          <w:bCs/>
          <w:color w:val="auto"/>
          <w:sz w:val="32"/>
          <w:szCs w:val="32"/>
          <w:highlight w:val="none"/>
          <w:u w:val="none"/>
          <w:lang w:val="en-US" w:eastAsia="zh-CN"/>
        </w:rPr>
        <w:t>，</w:t>
      </w:r>
      <w:r>
        <w:rPr>
          <w:rFonts w:hint="default" w:ascii="Times New Roman" w:hAnsi="Times New Roman" w:eastAsia="仿宋_GB2312" w:cs="Times New Roman"/>
          <w:bCs/>
          <w:color w:val="auto"/>
          <w:sz w:val="32"/>
          <w:szCs w:val="32"/>
          <w:lang w:val="en-US" w:eastAsia="zh-CN"/>
        </w:rPr>
        <w:t xml:space="preserve">我局决定对当事人减轻行政处罚。 </w:t>
      </w:r>
    </w:p>
    <w:p w14:paraId="2EAD04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bookmarkStart w:id="7" w:name="OLE_LINK3"/>
      <w:r>
        <w:rPr>
          <w:rFonts w:hint="default" w:ascii="Times New Roman" w:hAnsi="Times New Roman" w:eastAsia="仿宋_GB2312" w:cs="Times New Roman"/>
          <w:bCs/>
          <w:color w:val="auto"/>
          <w:sz w:val="32"/>
          <w:szCs w:val="32"/>
          <w:lang w:val="en-US" w:eastAsia="zh-CN"/>
        </w:rPr>
        <w:t>对于当事人经营</w:t>
      </w:r>
      <w:r>
        <w:rPr>
          <w:rFonts w:hint="default" w:ascii="Times New Roman" w:hAnsi="Times New Roman" w:eastAsia="仿宋_GB2312" w:cs="Times New Roman"/>
          <w:bCs/>
          <w:color w:val="auto"/>
          <w:kern w:val="2"/>
          <w:sz w:val="32"/>
          <w:szCs w:val="32"/>
          <w:lang w:val="en-US" w:eastAsia="zh-CN" w:bidi="ar-SA"/>
        </w:rPr>
        <w:t>没有中文标签的进口预包装食品</w:t>
      </w:r>
      <w:r>
        <w:rPr>
          <w:rFonts w:hint="default" w:ascii="Times New Roman" w:hAnsi="Times New Roman" w:eastAsia="仿宋_GB2312" w:cs="Times New Roman"/>
          <w:bCs/>
          <w:color w:val="auto"/>
          <w:sz w:val="32"/>
          <w:szCs w:val="32"/>
          <w:lang w:val="en-US" w:eastAsia="zh-CN"/>
        </w:rPr>
        <w:t>的有关问题，依据《中华人民共和国食品安全法》第一百二十五条第一款第二项“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中华人民共和国行政处罚法》第二十八条第一款“行政机关实施行政处罚时，应当责令当事人改正或者限期改正违法行为。”的规定，我局决定责令当事人立即改正该违法行为，并处以没收违法所得338元、罚款2000元的行政处罚。</w:t>
      </w:r>
    </w:p>
    <w:p w14:paraId="3E88E9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对于当事人未按规定履行进货查验记录制度的行为，依据《中华人民共和国食品安全法》第一百二十六条第一款第三项“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的规定，我局决定责令当事人立即改正该违法行为，并给予警告的行政处罚。</w:t>
      </w:r>
    </w:p>
    <w:p w14:paraId="479571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综上所述，我局决定责令当事人立即改正上述违法行为，并给予如下行政处罚：</w:t>
      </w:r>
    </w:p>
    <w:p w14:paraId="3DB87C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1.警告；</w:t>
      </w:r>
    </w:p>
    <w:p w14:paraId="44467C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2.没收违法所得338元；</w:t>
      </w:r>
    </w:p>
    <w:p w14:paraId="444EED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3.罚款2000元。</w:t>
      </w:r>
    </w:p>
    <w:p w14:paraId="229EB1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上述罚没款金额共计2338元。</w:t>
      </w:r>
      <w:bookmarkEnd w:id="7"/>
    </w:p>
    <w:p w14:paraId="0C1FB1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bookmarkStart w:id="8" w:name="DYNAMIC—DWXX—tAj_dwmc—2"/>
      <w:r>
        <w:rPr>
          <w:rFonts w:hint="default" w:ascii="Times New Roman" w:hAnsi="Times New Roman" w:eastAsia="仿宋_GB2312" w:cs="Times New Roman"/>
          <w:color w:val="auto"/>
          <w:sz w:val="32"/>
          <w:szCs w:val="32"/>
          <w:highlight w:val="none"/>
          <w:u w:val="none"/>
          <w:lang w:val="en-US" w:eastAsia="zh-CN"/>
        </w:rPr>
        <w:t>当事人应自接到本行政处罚决定书之日起十五日内，凭《广西壮族自治区非税收入电子缴款通知书》到中国建设银行或柳州银行缴纳上述款项（附言备注20位缴款通知书编号）。逾期不缴纳罚款的，根据《中华人民共和国行政处罚法》第七十二条的规定，我局将每日按罚款数额的百分之三加处罚款，并依法申请人民法院强制执行。</w:t>
      </w:r>
    </w:p>
    <w:p w14:paraId="5EAD35D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u w:val="none"/>
          <w:lang w:val="en-US" w:eastAsia="zh-CN"/>
        </w:rPr>
        <w:t>当事人如不服本行政处罚决定，可在接到本行政处罚决定书之日起60日内向柳</w:t>
      </w:r>
      <w:bookmarkStart w:id="10" w:name="_GoBack"/>
      <w:bookmarkEnd w:id="10"/>
      <w:r>
        <w:rPr>
          <w:rFonts w:hint="default" w:ascii="Times New Roman" w:hAnsi="Times New Roman" w:eastAsia="仿宋_GB2312" w:cs="Times New Roman"/>
          <w:color w:val="auto"/>
          <w:sz w:val="32"/>
          <w:szCs w:val="32"/>
          <w:highlight w:val="none"/>
          <w:u w:val="none"/>
          <w:lang w:val="en-US" w:eastAsia="zh-CN"/>
        </w:rPr>
        <w:t>州市柳北区人民政府申请行政复议；也可以在6个月内依法向柳州市柳南区人民法院提起行政诉讼。申请行政复议或者提起行政诉讼期间，行政处罚不停止执行。</w:t>
      </w:r>
    </w:p>
    <w:p w14:paraId="06A37346">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lang w:eastAsia="zh-CN"/>
        </w:rPr>
      </w:pPr>
    </w:p>
    <w:p w14:paraId="79C1D7E4">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lang w:eastAsia="zh-CN"/>
        </w:rPr>
      </w:pPr>
    </w:p>
    <w:p w14:paraId="0411CEF5">
      <w:pPr>
        <w:keepNext w:val="0"/>
        <w:keepLines w:val="0"/>
        <w:pageBreakBefore w:val="0"/>
        <w:widowControl w:val="0"/>
        <w:kinsoku/>
        <w:wordWrap/>
        <w:overflowPunct/>
        <w:topLinePunct w:val="0"/>
        <w:bidi w:val="0"/>
        <w:snapToGrid/>
        <w:spacing w:line="560" w:lineRule="exact"/>
        <w:ind w:right="640" w:firstLine="601"/>
        <w:jc w:val="righ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lang w:val="en-US" w:eastAsia="zh-CN"/>
        </w:rPr>
        <w:t xml:space="preserve">   </w:t>
      </w:r>
      <w:r>
        <w:rPr>
          <w:rFonts w:hint="eastAsia"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柳州市</w:t>
      </w:r>
      <w:r>
        <w:rPr>
          <w:rFonts w:hint="default" w:ascii="Times New Roman" w:hAnsi="Times New Roman" w:eastAsia="仿宋_GB2312" w:cs="Times New Roman"/>
          <w:color w:val="auto"/>
          <w:sz w:val="32"/>
          <w:szCs w:val="32"/>
          <w:u w:val="none"/>
        </w:rPr>
        <w:t>柳北区市场监督管理局</w:t>
      </w:r>
      <w:bookmarkEnd w:id="8"/>
      <w:r>
        <w:rPr>
          <w:rFonts w:hint="default" w:ascii="Times New Roman" w:hAnsi="Times New Roman" w:eastAsia="仿宋_GB2312" w:cs="Times New Roman"/>
          <w:color w:val="auto"/>
          <w:sz w:val="32"/>
          <w:szCs w:val="32"/>
          <w:u w:val="none"/>
        </w:rPr>
        <w:t xml:space="preserve">    </w:t>
      </w:r>
    </w:p>
    <w:p w14:paraId="36894C04">
      <w:pPr>
        <w:keepNext w:val="0"/>
        <w:keepLines w:val="0"/>
        <w:pageBreakBefore w:val="0"/>
        <w:widowControl w:val="0"/>
        <w:kinsoku/>
        <w:wordWrap/>
        <w:overflowPunct/>
        <w:topLinePunct w:val="0"/>
        <w:autoSpaceDE/>
        <w:autoSpaceDN/>
        <w:bidi w:val="0"/>
        <w:adjustRightInd/>
        <w:snapToGrid/>
        <w:spacing w:line="560" w:lineRule="exact"/>
        <w:ind w:right="630" w:rightChars="300"/>
        <w:jc w:val="center"/>
        <w:textAlignment w:val="auto"/>
        <w:outlineLvl w:val="9"/>
        <w:rPr>
          <w:rFonts w:hint="default" w:ascii="Times New Roman" w:hAnsi="Times New Roman" w:eastAsia="仿宋_GB2312" w:cs="Times New Roman"/>
          <w:color w:val="auto"/>
          <w:sz w:val="32"/>
          <w:szCs w:val="32"/>
        </w:rPr>
      </w:pPr>
      <w:bookmarkStart w:id="9" w:name="CALCULATE—TIME—NOW"/>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2026年0</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日</w:t>
      </w:r>
      <w:bookmarkEnd w:id="9"/>
      <w:r>
        <w:rPr>
          <w:rFonts w:hint="default" w:ascii="Times New Roman" w:hAnsi="Times New Roman" w:eastAsia="仿宋_GB2312" w:cs="Times New Roman"/>
          <w:color w:val="auto"/>
          <w:sz w:val="32"/>
          <w:szCs w:val="32"/>
          <w:u w:val="none"/>
        </w:rPr>
        <w:t xml:space="preserve">  </w:t>
      </w:r>
    </w:p>
    <w:p w14:paraId="038A265C">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rPr>
      </w:pPr>
    </w:p>
    <w:p w14:paraId="2D51FC30">
      <w:pPr>
        <w:pStyle w:val="9"/>
        <w:keepNext w:val="0"/>
        <w:keepLines w:val="0"/>
        <w:pageBreakBefore w:val="0"/>
        <w:kinsoku/>
        <w:wordWrap/>
        <w:overflowPunct/>
        <w:topLinePunct w:val="0"/>
        <w:bidi w:val="0"/>
        <w:spacing w:line="480" w:lineRule="exact"/>
        <w:rPr>
          <w:rFonts w:hint="default" w:ascii="Times New Roman" w:hAnsi="Times New Roman" w:eastAsia="仿宋_GB2312" w:cs="Times New Roman"/>
          <w:color w:val="auto"/>
          <w:sz w:val="32"/>
          <w:szCs w:val="32"/>
        </w:rPr>
      </w:pPr>
    </w:p>
    <w:p w14:paraId="47FB9B78">
      <w:pPr>
        <w:pStyle w:val="9"/>
        <w:keepNext w:val="0"/>
        <w:keepLines w:val="0"/>
        <w:pageBreakBefore w:val="0"/>
        <w:kinsoku/>
        <w:wordWrap/>
        <w:overflowPunct/>
        <w:topLinePunct w:val="0"/>
        <w:bidi w:val="0"/>
        <w:spacing w:line="480" w:lineRule="exact"/>
        <w:rPr>
          <w:rFonts w:hint="default" w:ascii="Times New Roman" w:hAnsi="Times New Roman" w:eastAsia="仿宋_GB2312" w:cs="Times New Roman"/>
          <w:color w:val="auto"/>
          <w:sz w:val="32"/>
          <w:szCs w:val="32"/>
        </w:rPr>
      </w:pPr>
    </w:p>
    <w:p w14:paraId="203BC965">
      <w:pPr>
        <w:pStyle w:val="9"/>
        <w:keepNext w:val="0"/>
        <w:keepLines w:val="0"/>
        <w:pageBreakBefore w:val="0"/>
        <w:kinsoku/>
        <w:wordWrap/>
        <w:overflowPunct/>
        <w:topLinePunct w:val="0"/>
        <w:bidi w:val="0"/>
        <w:spacing w:line="480" w:lineRule="exact"/>
        <w:rPr>
          <w:rFonts w:hint="default" w:ascii="Times New Roman" w:hAnsi="Times New Roman" w:eastAsia="仿宋_GB2312" w:cs="Times New Roman"/>
          <w:color w:val="auto"/>
          <w:sz w:val="32"/>
          <w:szCs w:val="32"/>
        </w:rPr>
      </w:pPr>
    </w:p>
    <w:p w14:paraId="51A596F5">
      <w:pPr>
        <w:pStyle w:val="3"/>
        <w:keepNext w:val="0"/>
        <w:keepLines w:val="0"/>
        <w:pageBreakBefore w:val="0"/>
        <w:widowControl w:val="0"/>
        <w:kinsoku/>
        <w:wordWrap/>
        <w:overflowPunct/>
        <w:topLinePunct w:val="0"/>
        <w:bidi w:val="0"/>
        <w:snapToGrid/>
        <w:spacing w:line="520" w:lineRule="exact"/>
        <w:ind w:left="0"/>
        <w:textAlignment w:val="auto"/>
        <w:rPr>
          <w:rFonts w:hint="default" w:ascii="Times New Roman" w:hAnsi="Times New Roman" w:eastAsia="仿宋_GB2312" w:cs="Times New Roman"/>
          <w:bCs/>
          <w:color w:val="auto"/>
          <w:sz w:val="44"/>
          <w:szCs w:val="44"/>
        </w:rPr>
      </w:pPr>
      <w:r>
        <w:rPr>
          <w:rFonts w:hint="default" w:ascii="Times New Roman" w:hAnsi="Times New Roman" w:eastAsia="仿宋_GB2312" w:cs="Times New Roman"/>
          <w:color w:val="auto"/>
          <w:spacing w:val="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default" w:ascii="Times New Roman" w:hAnsi="Times New Roman" w:eastAsia="黑体" w:cs="Times New Roman"/>
          <w:color w:val="auto"/>
          <w:spacing w:val="0"/>
          <w:sz w:val="32"/>
          <w:u w:val="none"/>
        </w:rPr>
        <w:t>（市场监督管理部门将依法向社会公开行政处罚决定信息）</w:t>
      </w:r>
    </w:p>
    <w:p w14:paraId="3CEFC53F">
      <w:pPr>
        <w:keepNext w:val="0"/>
        <w:keepLines w:val="0"/>
        <w:pageBreakBefore w:val="0"/>
        <w:widowControl w:val="0"/>
        <w:kinsoku/>
        <w:wordWrap/>
        <w:overflowPunct/>
        <w:topLinePunct w:val="0"/>
        <w:bidi w:val="0"/>
        <w:snapToGrid/>
        <w:spacing w:line="520" w:lineRule="exact"/>
        <w:ind w:left="0"/>
        <w:textAlignment w:val="auto"/>
        <w:rPr>
          <w:rFonts w:hint="default" w:ascii="Times New Roman" w:hAnsi="Times New Roman" w:cs="Times New Roman"/>
          <w:color w:val="auto"/>
        </w:rPr>
      </w:pPr>
      <w:r>
        <w:rPr>
          <w:rFonts w:hint="default" w:ascii="Times New Roman" w:hAnsi="Times New Roman" w:eastAsia="仿宋_GB2312" w:cs="Times New Roman"/>
          <w:bCs/>
          <w:color w:val="auto"/>
          <w:sz w:val="32"/>
          <w:szCs w:val="32"/>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bCs/>
          <w:color w:val="auto"/>
          <w:sz w:val="32"/>
          <w:szCs w:val="32"/>
          <w:u w:val="none"/>
          <w:lang w:val="en-US" w:eastAsia="zh-CN"/>
        </w:rPr>
        <w:t>本文书一式三份，一份送达，一份归档，一份办案单位留存</w:t>
      </w:r>
      <w:r>
        <w:rPr>
          <w:rFonts w:hint="default" w:ascii="Times New Roman" w:hAnsi="Times New Roman" w:eastAsia="仿宋_GB2312" w:cs="Times New Roman"/>
          <w:color w:val="auto"/>
          <w:sz w:val="32"/>
          <w:szCs w:val="32"/>
          <w:u w:val="none"/>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E725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3C5D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73C5D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8D4FCE"/>
    <w:rsid w:val="0CF71776"/>
    <w:rsid w:val="0D242541"/>
    <w:rsid w:val="0FB748D6"/>
    <w:rsid w:val="103E22C5"/>
    <w:rsid w:val="1125652A"/>
    <w:rsid w:val="11524677"/>
    <w:rsid w:val="115320F9"/>
    <w:rsid w:val="119E3BCA"/>
    <w:rsid w:val="1350279A"/>
    <w:rsid w:val="14203063"/>
    <w:rsid w:val="143E1E38"/>
    <w:rsid w:val="1490670C"/>
    <w:rsid w:val="152E563E"/>
    <w:rsid w:val="15B93156"/>
    <w:rsid w:val="161939DD"/>
    <w:rsid w:val="16D23D7F"/>
    <w:rsid w:val="18325353"/>
    <w:rsid w:val="188449CB"/>
    <w:rsid w:val="18B229B2"/>
    <w:rsid w:val="19FE4517"/>
    <w:rsid w:val="1AE345F4"/>
    <w:rsid w:val="1B37398D"/>
    <w:rsid w:val="1B8F65A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E7E6351"/>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930619F"/>
    <w:rsid w:val="3A080B60"/>
    <w:rsid w:val="3A4E178D"/>
    <w:rsid w:val="3BF97ECA"/>
    <w:rsid w:val="3C2965F0"/>
    <w:rsid w:val="3D6B1177"/>
    <w:rsid w:val="3E5F4AE1"/>
    <w:rsid w:val="3E853745"/>
    <w:rsid w:val="3F2604DF"/>
    <w:rsid w:val="3F6783E4"/>
    <w:rsid w:val="3F842066"/>
    <w:rsid w:val="3FFF82D4"/>
    <w:rsid w:val="402E7C06"/>
    <w:rsid w:val="40FE5F8F"/>
    <w:rsid w:val="425049CE"/>
    <w:rsid w:val="442B16EC"/>
    <w:rsid w:val="44C96692"/>
    <w:rsid w:val="45682DFA"/>
    <w:rsid w:val="458F64B9"/>
    <w:rsid w:val="45C51FFB"/>
    <w:rsid w:val="46157ACD"/>
    <w:rsid w:val="47243FC5"/>
    <w:rsid w:val="48C10000"/>
    <w:rsid w:val="4A555101"/>
    <w:rsid w:val="4ADF49AE"/>
    <w:rsid w:val="4B69167A"/>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9E1461C"/>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BE4536"/>
    <w:rsid w:val="60C16F3B"/>
    <w:rsid w:val="612E7E8C"/>
    <w:rsid w:val="617678F3"/>
    <w:rsid w:val="61DC2B1A"/>
    <w:rsid w:val="63185A08"/>
    <w:rsid w:val="636955DE"/>
    <w:rsid w:val="646E5E05"/>
    <w:rsid w:val="64A34C00"/>
    <w:rsid w:val="64E43803"/>
    <w:rsid w:val="657F58CB"/>
    <w:rsid w:val="6674153C"/>
    <w:rsid w:val="66934D57"/>
    <w:rsid w:val="6AD7030F"/>
    <w:rsid w:val="6BA277B7"/>
    <w:rsid w:val="6BCC1BB9"/>
    <w:rsid w:val="6C6723F1"/>
    <w:rsid w:val="6CA517CF"/>
    <w:rsid w:val="6CB716E9"/>
    <w:rsid w:val="6D064CEC"/>
    <w:rsid w:val="6D6C7F13"/>
    <w:rsid w:val="6D923254"/>
    <w:rsid w:val="6DB0200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AF319D"/>
    <w:rsid w:val="77DF8BD4"/>
    <w:rsid w:val="77EFD5CC"/>
    <w:rsid w:val="77FFADAC"/>
    <w:rsid w:val="7835649C"/>
    <w:rsid w:val="789620E4"/>
    <w:rsid w:val="78FD530C"/>
    <w:rsid w:val="79DD3968"/>
    <w:rsid w:val="7AFB4DD2"/>
    <w:rsid w:val="7B003193"/>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2986</Words>
  <Characters>3106</Characters>
  <Lines>0</Lines>
  <Paragraphs>0</Paragraphs>
  <TotalTime>10</TotalTime>
  <ScaleCrop>false</ScaleCrop>
  <LinksUpToDate>false</LinksUpToDate>
  <CharactersWithSpaces>3145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2026-09-23T08:24:01Z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