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AD815">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37E8564D">
      <w:pPr>
        <w:pStyle w:val="2"/>
        <w:keepNext w:val="0"/>
        <w:numPr>
          <w:ilvl w:val="0"/>
          <w:numId w:val="2"/>
        </w:numPr>
        <w:spacing w:before="0" w:after="0" w:line="640" w:lineRule="exact"/>
        <w:jc w:val="center"/>
        <w:rPr>
          <w:rFonts w:hint="eastAsia"/>
          <w:color w:val="auto"/>
        </w:rPr>
      </w:pPr>
      <w:bookmarkStart w:id="1" w:name="_Toc76683344"/>
      <w:r>
        <w:rPr>
          <w:rFonts w:hint="eastAsia" w:hAnsi="方正小标宋简体" w:eastAsia="方正小标宋简体" w:cs="方正小标宋简体"/>
          <w:color w:val="auto"/>
          <w:sz w:val="44"/>
          <w:szCs w:val="44"/>
          <w:u w:val="none"/>
          <w:lang w:val="en-US"/>
        </w:rPr>
        <w:t>行政处罚</w:t>
      </w:r>
      <w:r>
        <w:rPr>
          <w:rFonts w:hint="eastAsia" w:hAnsi="方正小标宋简体" w:eastAsia="方正小标宋简体" w:cs="方正小标宋简体"/>
          <w:color w:val="auto"/>
          <w:sz w:val="44"/>
          <w:szCs w:val="44"/>
          <w:u w:val="none"/>
          <w:lang w:val="en-US" w:eastAsia="zh-Hans"/>
        </w:rPr>
        <w:t>决定</w:t>
      </w:r>
      <w:r>
        <w:rPr>
          <w:rFonts w:hint="eastAsia" w:hAnsi="方正小标宋简体" w:eastAsia="方正小标宋简体" w:cs="方正小标宋简体"/>
          <w:color w:val="auto"/>
          <w:sz w:val="44"/>
          <w:szCs w:val="44"/>
          <w:u w:val="none"/>
          <w:lang w:val="en-US"/>
        </w:rPr>
        <w:t>书</w:t>
      </w:r>
      <w:bookmarkEnd w:id="1"/>
    </w:p>
    <w:p w14:paraId="4F44526F">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auto"/>
          <w:sz w:val="32"/>
          <w:u w:val="none"/>
        </w:rPr>
        <w:t>柳北市监处罚〔2026〕</w:t>
      </w:r>
      <w:r>
        <w:rPr>
          <w:rFonts w:hint="eastAsia" w:ascii="Times New Roman" w:hAnsi="Times New Roman" w:eastAsia="仿宋_GB2312" w:cs="Mongolian Baiti"/>
          <w:color w:val="auto"/>
          <w:sz w:val="32"/>
          <w:u w:val="none"/>
          <w:lang w:val="en-US" w:eastAsia="zh-CN"/>
        </w:rPr>
        <w:t>112</w:t>
      </w:r>
      <w:bookmarkStart w:id="5" w:name="_GoBack"/>
      <w:bookmarkEnd w:id="5"/>
      <w:r>
        <w:rPr>
          <w:rFonts w:hint="eastAsia" w:ascii="Times New Roman" w:hAnsi="Times New Roman" w:eastAsia="仿宋_GB2312" w:cs="Mongolian Baiti"/>
          <w:color w:val="auto"/>
          <w:sz w:val="32"/>
          <w:u w:val="none"/>
          <w:lang w:val="en-US" w:eastAsia="zh-CN"/>
        </w:rPr>
        <w:t xml:space="preserve"> </w:t>
      </w:r>
      <w:r>
        <w:rPr>
          <w:rFonts w:hint="eastAsia" w:ascii="Times New Roman" w:hAnsi="Times New Roman" w:eastAsia="仿宋_GB2312" w:cs="Mongolian Baiti"/>
          <w:color w:val="auto"/>
          <w:sz w:val="32"/>
          <w:u w:val="none"/>
        </w:rPr>
        <w:t>号</w:t>
      </w:r>
      <w:bookmarkEnd w:id="2"/>
    </w:p>
    <w:p w14:paraId="631939A5">
      <w:pPr>
        <w:pStyle w:val="10"/>
        <w:rPr>
          <w:rFonts w:hint="eastAsia"/>
          <w:color w:val="auto"/>
        </w:rPr>
      </w:pPr>
    </w:p>
    <w:p w14:paraId="72625A99">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eastAsia="zh-CN"/>
        </w:rPr>
        <w:t>当</w:t>
      </w:r>
      <w:r>
        <w:rPr>
          <w:rFonts w:hint="default" w:ascii="Times New Roman" w:hAnsi="Times New Roman" w:eastAsia="仿宋_GB2312" w:cs="Times New Roman"/>
          <w:b w:val="0"/>
          <w:bCs w:val="0"/>
          <w:color w:val="auto"/>
          <w:sz w:val="32"/>
          <w:szCs w:val="32"/>
          <w:highlight w:val="none"/>
          <w:u w:val="none"/>
          <w:lang w:eastAsia="zh-CN"/>
        </w:rPr>
        <w:t>事人：</w:t>
      </w:r>
      <w:r>
        <w:rPr>
          <w:rFonts w:hint="default" w:ascii="Times New Roman" w:hAnsi="Times New Roman" w:eastAsia="仿宋_GB2312" w:cs="Times New Roman"/>
          <w:bCs/>
          <w:color w:val="auto"/>
          <w:sz w:val="32"/>
          <w:szCs w:val="32"/>
          <w:lang w:val="en-US" w:eastAsia="zh-CN"/>
        </w:rPr>
        <w:t>柳州市柳北区胜祥北站烧卤快餐店（个体工商户）</w:t>
      </w:r>
    </w:p>
    <w:p w14:paraId="4C8E93E4">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eastAsia="zh-CN"/>
        </w:rPr>
        <w:t>主体资格证照名称：</w:t>
      </w:r>
      <w:r>
        <w:rPr>
          <w:rFonts w:hint="default" w:ascii="Times New Roman" w:hAnsi="Times New Roman" w:eastAsia="仿宋_GB2312" w:cs="Times New Roman"/>
          <w:b w:val="0"/>
          <w:bCs w:val="0"/>
          <w:color w:val="auto"/>
          <w:sz w:val="32"/>
          <w:szCs w:val="32"/>
          <w:highlight w:val="none"/>
          <w:u w:val="none"/>
          <w:lang w:val="en-US" w:eastAsia="zh-CN"/>
        </w:rPr>
        <w:t>营业执照</w:t>
      </w:r>
    </w:p>
    <w:p w14:paraId="7D93A288">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统一社会信用代码：92450205MAE5J5PJ9R</w:t>
      </w:r>
    </w:p>
    <w:p w14:paraId="52D16B74">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经营场所：</w:t>
      </w:r>
      <w:r>
        <w:rPr>
          <w:rFonts w:hint="default" w:ascii="Times New Roman" w:hAnsi="Times New Roman" w:eastAsia="仿宋_GB2312" w:cs="Times New Roman"/>
          <w:bCs/>
          <w:color w:val="auto"/>
          <w:sz w:val="32"/>
          <w:szCs w:val="32"/>
          <w:lang w:val="en-US" w:eastAsia="zh-CN"/>
        </w:rPr>
        <w:t>柳州市柳北区北站路47号商铺1-2号门面</w:t>
      </w:r>
    </w:p>
    <w:p w14:paraId="53889A77">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none"/>
          <w:lang w:val="en-US" w:eastAsia="zh-CN"/>
        </w:rPr>
        <w:t>经营者：</w:t>
      </w:r>
      <w:r>
        <w:rPr>
          <w:rFonts w:hint="default" w:ascii="Times New Roman" w:hAnsi="Times New Roman" w:eastAsia="仿宋_GB2312" w:cs="Times New Roman"/>
          <w:bCs/>
          <w:color w:val="auto"/>
          <w:sz w:val="32"/>
          <w:szCs w:val="32"/>
          <w:lang w:val="en-US" w:eastAsia="zh-CN"/>
        </w:rPr>
        <w:t>何金玉</w:t>
      </w:r>
    </w:p>
    <w:p w14:paraId="238C1CD1">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 w:val="0"/>
          <w:bCs w:val="0"/>
          <w:color w:val="auto"/>
          <w:sz w:val="32"/>
          <w:szCs w:val="32"/>
          <w:highlight w:val="none"/>
          <w:u w:val="none"/>
          <w:lang w:eastAsia="zh-CN"/>
        </w:rPr>
        <w:t>身份证</w:t>
      </w:r>
      <w:r>
        <w:rPr>
          <w:rFonts w:hint="default" w:ascii="Times New Roman" w:hAnsi="Times New Roman" w:eastAsia="仿宋_GB2312" w:cs="Times New Roman"/>
          <w:b w:val="0"/>
          <w:bCs w:val="0"/>
          <w:color w:val="auto"/>
          <w:sz w:val="32"/>
          <w:szCs w:val="32"/>
          <w:highlight w:val="none"/>
          <w:u w:val="none"/>
          <w:lang w:val="en-US" w:eastAsia="zh-CN"/>
        </w:rPr>
        <w:t>件</w:t>
      </w:r>
      <w:r>
        <w:rPr>
          <w:rFonts w:hint="default" w:ascii="Times New Roman" w:hAnsi="Times New Roman" w:eastAsia="仿宋_GB2312" w:cs="Times New Roman"/>
          <w:b w:val="0"/>
          <w:bCs w:val="0"/>
          <w:color w:val="auto"/>
          <w:sz w:val="32"/>
          <w:szCs w:val="32"/>
          <w:highlight w:val="none"/>
          <w:u w:val="none"/>
          <w:lang w:eastAsia="zh-CN"/>
        </w:rPr>
        <w:t>号码：</w:t>
      </w:r>
      <w:r>
        <w:rPr>
          <w:rFonts w:hint="eastAsia" w:ascii="Times New Roman" w:hAnsi="Times New Roman" w:eastAsia="仿宋_GB2312" w:cs="Times New Roman"/>
          <w:bCs/>
          <w:color w:val="auto"/>
          <w:sz w:val="32"/>
          <w:szCs w:val="32"/>
          <w:lang w:val="en-US" w:eastAsia="zh-CN"/>
        </w:rPr>
        <w:t>*</w:t>
      </w:r>
    </w:p>
    <w:p w14:paraId="1FB4221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2026年5月28日，广西惠莱生态科技有限公司工作人员对当事人经营场所的消毒餐具摆放区域的当日自行清洗消毒的碗（自消餐具）进行抽样送检。2026年6月18日</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lang w:val="en-US" w:eastAsia="zh-CN"/>
        </w:rPr>
        <w:t>我局接到由广西惠莱生态科技有限公司出具的报告编号为№：SP2602002-0097的《检验报告》，检验结论为不合格。我局执法人员于2026年6月26日向当事人送达该《检验报告》及《食品安全抽样检验结果通知书》，并对当事人进行现场检查，未发现有当事人2026年5月28日自行清洗消毒的上述餐具。当事人在法定期限内未提出复检申请。我局于2026年7月9日对当事人涉嫌使用清洗消毒不合格的餐具的行为进行立案调查。</w:t>
      </w:r>
    </w:p>
    <w:p w14:paraId="4CB8DB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经查实，当事人于2026年5月28日自行清洗消毒了55个碗（自消餐具），其中6个被抽样人员抽样送检，剩余49个在经营场所内提供顾客用餐使用。上述碗经广西惠莱生态科技有限公司抽样检验，检验结论：经抽样检验，阴离子合成洗涤剂（以十二烷基苯磺酸钠计）项目不符合GB 14934-2016《食品安全国家标准 消毒餐（饮）具》要求，检验结论为不合格。</w:t>
      </w:r>
    </w:p>
    <w:p w14:paraId="19FD8CA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另查明，当事人曾于2025年10月21日因使用不合格的消毒餐具被我局行政处罚。</w:t>
      </w:r>
    </w:p>
    <w:p w14:paraId="572D95D5">
      <w:pPr>
        <w:pStyle w:val="10"/>
        <w:keepNext w:val="0"/>
        <w:keepLines w:val="0"/>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 xml:space="preserve">    </w:t>
      </w:r>
      <w:r>
        <w:rPr>
          <w:rFonts w:hint="default" w:ascii="Times New Roman" w:hAnsi="Times New Roman" w:eastAsia="仿宋_GB2312" w:cs="Times New Roman"/>
          <w:b w:val="0"/>
          <w:bCs w:val="0"/>
          <w:color w:val="auto"/>
          <w:sz w:val="32"/>
          <w:szCs w:val="32"/>
          <w:highlight w:val="none"/>
          <w:u w:val="none"/>
        </w:rPr>
        <w:t>上述事实，主要有以下证据证明：</w:t>
      </w:r>
    </w:p>
    <w:p w14:paraId="276D10C7">
      <w:pPr>
        <w:keepNext w:val="0"/>
        <w:keepLines w:val="0"/>
        <w:pageBreakBefore w:val="0"/>
        <w:widowControl w:val="0"/>
        <w:shd w:val="clea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lang w:val="en-US" w:eastAsia="zh-CN"/>
        </w:rPr>
        <w:t>1.当事人的《营业执照</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lang w:val="en-US" w:eastAsia="zh-CN"/>
        </w:rPr>
        <w:t>食品经营许可证》复印件各1份，经营者的身份证复印件1份</w:t>
      </w:r>
      <w:r>
        <w:rPr>
          <w:rFonts w:hint="default" w:ascii="Times New Roman" w:hAnsi="Times New Roman" w:eastAsia="仿宋_GB2312" w:cs="Times New Roman"/>
          <w:bCs/>
          <w:color w:val="auto"/>
          <w:sz w:val="32"/>
          <w:szCs w:val="32"/>
          <w:highlight w:val="none"/>
          <w:u w:val="none"/>
          <w:lang w:val="en-US" w:eastAsia="zh-CN"/>
        </w:rPr>
        <w:t>，证明当事人的主体资格及</w:t>
      </w:r>
      <w:r>
        <w:rPr>
          <w:rFonts w:hint="eastAsia" w:ascii="Times New Roman" w:hAnsi="Times New Roman" w:eastAsia="仿宋_GB2312" w:cs="Times New Roman"/>
          <w:bCs/>
          <w:color w:val="auto"/>
          <w:sz w:val="32"/>
          <w:szCs w:val="32"/>
          <w:lang w:val="en-US" w:eastAsia="zh-CN"/>
        </w:rPr>
        <w:t>经营者</w:t>
      </w:r>
      <w:r>
        <w:rPr>
          <w:rFonts w:hint="default" w:ascii="Times New Roman" w:hAnsi="Times New Roman" w:eastAsia="仿宋_GB2312" w:cs="Times New Roman"/>
          <w:bCs/>
          <w:color w:val="auto"/>
          <w:sz w:val="32"/>
          <w:szCs w:val="32"/>
          <w:highlight w:val="none"/>
          <w:u w:val="none"/>
          <w:lang w:val="en-US" w:eastAsia="zh-CN"/>
        </w:rPr>
        <w:t>身份信息；</w:t>
      </w:r>
    </w:p>
    <w:p w14:paraId="4F343E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Cs/>
          <w:color w:val="auto"/>
          <w:sz w:val="32"/>
          <w:szCs w:val="32"/>
          <w:lang w:val="en-US" w:eastAsia="zh-CN"/>
        </w:rPr>
        <w:t>2.现场笔录1份，询问笔录1份，证据提取单4份，检验报告1份，食品安全抽样检验结果通知书1份，食品安全抽样检验复检和异议须知1份</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lang w:val="en-US" w:eastAsia="zh-CN"/>
        </w:rPr>
        <w:t>食品安全抽样检验告知书复印件1份，食品安全抽样检验抽样单（非食用农产品）复印件1份，证明当事人存在使用阴离子合成洗涤剂（以十二烷基苯磺酸钠计）项目不符合GB 14934-2016《食品安全国家标准 消毒餐（饮）具》要求</w:t>
      </w:r>
      <w:r>
        <w:rPr>
          <w:rFonts w:hint="default" w:ascii="Times New Roman" w:hAnsi="Times New Roman" w:eastAsia="仿宋_GB2312" w:cs="Times New Roman"/>
          <w:color w:val="auto"/>
          <w:sz w:val="32"/>
          <w:szCs w:val="32"/>
        </w:rPr>
        <w:t>的餐具</w:t>
      </w:r>
      <w:r>
        <w:rPr>
          <w:rFonts w:hint="default" w:ascii="Times New Roman" w:hAnsi="Times New Roman" w:eastAsia="仿宋_GB2312" w:cs="Times New Roman"/>
          <w:color w:val="auto"/>
          <w:sz w:val="32"/>
          <w:szCs w:val="32"/>
          <w:lang w:eastAsia="zh-CN"/>
        </w:rPr>
        <w:t>的事实。</w:t>
      </w:r>
    </w:p>
    <w:p w14:paraId="4C0BB9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bCs/>
          <w:color w:val="auto"/>
          <w:sz w:val="32"/>
          <w:szCs w:val="32"/>
          <w:lang w:val="en-US" w:eastAsia="zh-CN"/>
        </w:rPr>
        <w:t>《行政处罚决定书》复印件1份，证明当事人于2025年10月21日因使用不合格的消毒餐具被我局</w:t>
      </w:r>
      <w:r>
        <w:rPr>
          <w:rFonts w:hint="default" w:ascii="Times New Roman" w:hAnsi="Times New Roman" w:eastAsia="仿宋_GB2312" w:cs="Times New Roman"/>
          <w:color w:val="auto"/>
          <w:sz w:val="32"/>
          <w:szCs w:val="32"/>
          <w:lang w:val="en-US" w:eastAsia="zh-CN"/>
        </w:rPr>
        <w:t>行政处罚</w:t>
      </w:r>
      <w:r>
        <w:rPr>
          <w:rFonts w:hint="default" w:ascii="Times New Roman" w:hAnsi="Times New Roman" w:eastAsia="仿宋_GB2312" w:cs="Times New Roman"/>
          <w:bCs/>
          <w:color w:val="auto"/>
          <w:sz w:val="32"/>
          <w:szCs w:val="32"/>
          <w:lang w:val="en-US" w:eastAsia="zh-CN"/>
        </w:rPr>
        <w:t xml:space="preserve">。    </w:t>
      </w:r>
    </w:p>
    <w:p w14:paraId="75E866C7">
      <w:pPr>
        <w:keepNext w:val="0"/>
        <w:keepLines w:val="0"/>
        <w:pageBreakBefore w:val="0"/>
        <w:widowControl w:val="0"/>
        <w:kinsoku/>
        <w:wordWrap/>
        <w:overflowPunct/>
        <w:topLinePunct w:val="0"/>
        <w:bidi w:val="0"/>
        <w:snapToGrid/>
        <w:spacing w:line="560" w:lineRule="exact"/>
        <w:ind w:left="-238" w:right="232" w:firstLine="640" w:firstLineChars="200"/>
        <w:jc w:val="left"/>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以上证据均由经营者</w:t>
      </w:r>
      <w:r>
        <w:rPr>
          <w:rFonts w:hint="eastAsia" w:ascii="Times New Roman" w:hAnsi="Times New Roman" w:eastAsia="仿宋_GB2312" w:cs="Times New Roman"/>
          <w:bCs/>
          <w:color w:val="auto"/>
          <w:sz w:val="32"/>
          <w:szCs w:val="32"/>
          <w:lang w:val="en-US" w:eastAsia="zh-CN"/>
        </w:rPr>
        <w:t>及相关证明人</w:t>
      </w:r>
      <w:r>
        <w:rPr>
          <w:rFonts w:hint="default" w:ascii="Times New Roman" w:hAnsi="Times New Roman" w:eastAsia="仿宋_GB2312" w:cs="Times New Roman"/>
          <w:bCs/>
          <w:color w:val="auto"/>
          <w:sz w:val="32"/>
          <w:szCs w:val="32"/>
          <w:lang w:val="en-US" w:eastAsia="zh-CN"/>
        </w:rPr>
        <w:t xml:space="preserve">签名认可。 </w:t>
      </w:r>
    </w:p>
    <w:p w14:paraId="262D2313">
      <w:pPr>
        <w:keepNext w:val="0"/>
        <w:keepLines w:val="0"/>
        <w:pageBreakBefore w:val="0"/>
        <w:widowControl w:val="0"/>
        <w:kinsoku/>
        <w:wordWrap/>
        <w:overflowPunct/>
        <w:topLinePunct w:val="0"/>
        <w:bidi w:val="0"/>
        <w:snapToGrid/>
        <w:spacing w:line="560" w:lineRule="exact"/>
        <w:ind w:left="-238" w:right="232" w:firstLine="640" w:firstLineChars="200"/>
        <w:jc w:val="left"/>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我局于2026年8月31日向当事人送达了《行政处罚告知书》（柳北市监罚告〔2026〕99号），告知当事人我局拟作出行政处罚的事实、理由、依据、处罚内容及享有的权利。当事人在法定期限内未提出陈述、申辩。</w:t>
      </w:r>
    </w:p>
    <w:p w14:paraId="6F88C09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Cs/>
          <w:color w:val="auto"/>
          <w:sz w:val="32"/>
          <w:szCs w:val="32"/>
          <w:lang w:val="en-US" w:eastAsia="zh-CN"/>
        </w:rPr>
        <w:t>当事人的上述行为，违反了《中华人民共和国食品安全法》第五十六条第二款“餐饮服务提供者应当按照要求对餐具、饮具进行清洗消毒，不得使用未经清洗消毒的餐具、饮具；餐饮服务提供者委托清洗消毒餐具、饮具的，应当委托符合本法规定条件的餐具、饮具集中消毒服务单位。”的规定，属于使用清洗消毒不合格的餐具的行为。</w:t>
      </w:r>
    </w:p>
    <w:p w14:paraId="7FB54399">
      <w:pPr>
        <w:keepNext w:val="0"/>
        <w:keepLines w:val="0"/>
        <w:pageBreakBefore w:val="0"/>
        <w:widowControl w:val="0"/>
        <w:numPr>
          <w:ilvl w:val="0"/>
          <w:numId w:val="0"/>
        </w:numPr>
        <w:kinsoku/>
        <w:wordWrap/>
        <w:overflowPunct/>
        <w:topLinePunct w:val="0"/>
        <w:bidi w:val="0"/>
        <w:snapToGrid/>
        <w:spacing w:line="500" w:lineRule="exact"/>
        <w:ind w:right="0" w:rightChars="0" w:firstLine="640" w:firstLineChars="200"/>
        <w:jc w:val="both"/>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Cs/>
          <w:color w:val="auto"/>
          <w:sz w:val="32"/>
          <w:szCs w:val="32"/>
          <w:lang w:val="en-US" w:eastAsia="zh-CN"/>
        </w:rPr>
        <w:t>当事人清洗消毒的碗（自消餐具）数量较少，在案件调查过程中当事人积极配合调查</w:t>
      </w:r>
      <w:r>
        <w:rPr>
          <w:rFonts w:hint="default" w:ascii="Times New Roman" w:hAnsi="Times New Roman" w:eastAsia="仿宋_GB2312" w:cs="Times New Roman"/>
          <w:bCs/>
          <w:color w:val="auto"/>
          <w:sz w:val="32"/>
          <w:szCs w:val="32"/>
          <w:highlight w:val="none"/>
          <w:u w:val="none"/>
          <w:lang w:val="en-US" w:eastAsia="zh-CN"/>
        </w:rPr>
        <w:t>并主动提供相关证据材料</w:t>
      </w:r>
      <w:r>
        <w:rPr>
          <w:rFonts w:hint="default" w:ascii="Times New Roman" w:hAnsi="Times New Roman" w:eastAsia="仿宋_GB2312" w:cs="Times New Roman"/>
          <w:bCs/>
          <w:color w:val="auto"/>
          <w:sz w:val="32"/>
          <w:szCs w:val="32"/>
          <w:lang w:val="en-US" w:eastAsia="zh-CN"/>
        </w:rPr>
        <w:t>，如实陈述其违法行为，</w:t>
      </w:r>
      <w:r>
        <w:rPr>
          <w:rFonts w:hint="default" w:ascii="Times New Roman" w:hAnsi="Times New Roman" w:eastAsia="仿宋_GB2312" w:cs="Times New Roman"/>
          <w:color w:val="auto"/>
          <w:sz w:val="32"/>
          <w:szCs w:val="32"/>
          <w:lang w:val="en-US" w:eastAsia="zh-CN"/>
        </w:rPr>
        <w:t>依据《中华人民共和国行政处罚法》第五条第二款“ 设定和实施行政处罚必须以事实为依据，与违法行为的事实、性质、情节以及社会危害程度相当。</w:t>
      </w:r>
      <w:r>
        <w:rPr>
          <w:rFonts w:hint="default" w:ascii="Times New Roman" w:hAnsi="Times New Roman" w:eastAsia="仿宋_GB2312" w:cs="Times New Roman"/>
          <w:color w:val="auto"/>
          <w:sz w:val="32"/>
          <w:szCs w:val="32"/>
          <w:lang w:val="en-US" w:eastAsia="zh-CN"/>
        </w:rPr>
        <w:fldChar w:fldCharType="begin"/>
      </w:r>
      <w:r>
        <w:rPr>
          <w:rFonts w:hint="default" w:ascii="Times New Roman" w:hAnsi="Times New Roman" w:eastAsia="仿宋_GB2312" w:cs="Times New Roman"/>
          <w:color w:val="auto"/>
          <w:sz w:val="32"/>
          <w:szCs w:val="32"/>
          <w:lang w:val="en-US" w:eastAsia="zh-CN"/>
        </w:rPr>
        <w:instrText xml:space="preserve"> HYPERLINK "javascript:void(0);" </w:instrText>
      </w:r>
      <w:r>
        <w:rPr>
          <w:rFonts w:hint="default" w:ascii="Times New Roman" w:hAnsi="Times New Roman" w:eastAsia="仿宋_GB2312" w:cs="Times New Roman"/>
          <w:color w:val="auto"/>
          <w:sz w:val="32"/>
          <w:szCs w:val="32"/>
          <w:lang w:val="en-US" w:eastAsia="zh-CN"/>
        </w:rPr>
        <w:fldChar w:fldCharType="separate"/>
      </w:r>
      <w:r>
        <w:rPr>
          <w:rFonts w:hint="default" w:ascii="Times New Roman" w:hAnsi="Times New Roman" w:eastAsia="仿宋_GB2312" w:cs="Times New Roman"/>
          <w:color w:val="auto"/>
          <w:sz w:val="32"/>
          <w:szCs w:val="32"/>
          <w:lang w:val="en-US" w:eastAsia="zh-CN"/>
        </w:rPr>
        <w:fldChar w:fldCharType="end"/>
      </w:r>
      <w:r>
        <w:rPr>
          <w:rFonts w:hint="default" w:ascii="Times New Roman" w:hAnsi="Times New Roman" w:eastAsia="仿宋_GB2312" w:cs="Times New Roman"/>
          <w:color w:val="auto"/>
          <w:sz w:val="32"/>
          <w:szCs w:val="32"/>
          <w:lang w:val="en-US" w:eastAsia="zh-CN"/>
        </w:rPr>
        <w:t>”、第六条“实施行政处罚，纠正违法行为，应当坚持处罚与教育相结合，教育公民、法人或者其他组织自觉守法。”，并参照</w:t>
      </w:r>
      <w:r>
        <w:rPr>
          <w:rFonts w:hint="default" w:ascii="Times New Roman" w:hAnsi="Times New Roman" w:eastAsia="仿宋_GB2312" w:cs="Times New Roman"/>
          <w:bCs/>
          <w:color w:val="auto"/>
          <w:sz w:val="32"/>
          <w:szCs w:val="32"/>
          <w:lang w:val="en-US" w:eastAsia="zh-CN"/>
        </w:rPr>
        <w:t>《关于规范市场监督管理行政处罚裁量权的指导意见》第十四条第二项“有下列情形之一的，可以依法从轻或者减轻行政处罚：（二）积极配合市场监管部门调查并主动提供证据材料的；”</w:t>
      </w:r>
      <w:r>
        <w:rPr>
          <w:rFonts w:hint="eastAsia" w:ascii="Times New Roman" w:hAnsi="Times New Roman" w:eastAsia="仿宋_GB2312" w:cs="Times New Roman"/>
          <w:bCs/>
          <w:color w:val="auto"/>
          <w:sz w:val="32"/>
          <w:szCs w:val="32"/>
          <w:lang w:val="en-US" w:eastAsia="zh-CN"/>
        </w:rPr>
        <w:t>和</w:t>
      </w:r>
      <w:r>
        <w:rPr>
          <w:rFonts w:hint="default" w:ascii="Times New Roman" w:hAnsi="Times New Roman" w:eastAsia="仿宋_GB2312" w:cs="Times New Roman"/>
          <w:bCs/>
          <w:color w:val="auto"/>
          <w:sz w:val="32"/>
          <w:szCs w:val="32"/>
          <w:lang w:val="en-US" w:eastAsia="zh-CN"/>
        </w:rPr>
        <w:t>《广西壮族自治区市场监督管理行政处罚裁量权适用规定》第十二条第一款第二项“有下列情形之一的，可以依法从轻或者减轻行政处罚：（二）积极配合市场监管部门调查并主动提供证据材料的；”的规定</w:t>
      </w:r>
      <w:r>
        <w:rPr>
          <w:rFonts w:hint="default" w:ascii="Times New Roman" w:hAnsi="Times New Roman" w:eastAsia="仿宋_GB2312" w:cs="Times New Roman"/>
          <w:bCs/>
          <w:strike w:val="0"/>
          <w:dstrike w:val="0"/>
          <w:color w:val="auto"/>
          <w:sz w:val="32"/>
          <w:szCs w:val="32"/>
          <w:lang w:val="en-US" w:eastAsia="zh-CN"/>
        </w:rPr>
        <w:t>，我局决定对当事人减轻行政处罚。</w:t>
      </w:r>
    </w:p>
    <w:p w14:paraId="2874548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u w:val="none"/>
          <w:lang w:val="en-US" w:eastAsia="zh-CN"/>
        </w:rPr>
      </w:pPr>
      <w:bookmarkStart w:id="3" w:name="DYNAMIC—DWXX—tAj_dwmc—2"/>
      <w:r>
        <w:rPr>
          <w:rFonts w:hint="default" w:ascii="Times New Roman" w:hAnsi="Times New Roman" w:eastAsia="仿宋_GB2312" w:cs="Times New Roman"/>
          <w:bCs/>
          <w:color w:val="auto"/>
          <w:sz w:val="32"/>
          <w:szCs w:val="32"/>
          <w:lang w:val="en-US" w:eastAsia="zh-CN"/>
        </w:rPr>
        <w:t>依据《中华人民共和国食品安全法》第一百二十六条第一款第五项“违反本法规定，有下列情形之一的，由县级以上人民政府食品安全监督管理部门责令改正，给予警告；拒不改正的，处五千元以上五万元以下罚款；情节严重的，责令停产停业，直至吊销许可证：（五）餐具、饮具和盛放直接入口食品的容器，使用前未经洗净、消毒或者清洗消毒不合格，或者餐饮服务设施、设备未按规定定期维护、清洗、校验；”的规定，我局决定责令当事人立即改正上述违法行为，并</w:t>
      </w:r>
      <w:r>
        <w:rPr>
          <w:rFonts w:hint="default" w:ascii="Times New Roman" w:hAnsi="Times New Roman" w:eastAsia="仿宋_GB2312" w:cs="Times New Roman"/>
          <w:bCs/>
          <w:color w:val="auto"/>
          <w:sz w:val="32"/>
          <w:szCs w:val="32"/>
          <w:u w:val="none"/>
          <w:lang w:val="en-US" w:eastAsia="zh-CN"/>
        </w:rPr>
        <w:t>给予</w:t>
      </w:r>
      <w:r>
        <w:rPr>
          <w:rFonts w:hint="default" w:ascii="Times New Roman" w:hAnsi="Times New Roman" w:eastAsia="仿宋_GB2312" w:cs="Times New Roman"/>
          <w:bCs/>
          <w:color w:val="auto"/>
          <w:sz w:val="32"/>
          <w:szCs w:val="32"/>
          <w:lang w:val="en-US" w:eastAsia="zh-CN"/>
        </w:rPr>
        <w:t>罚款1000元的</w:t>
      </w:r>
      <w:r>
        <w:rPr>
          <w:rFonts w:hint="default" w:ascii="Times New Roman" w:hAnsi="Times New Roman" w:eastAsia="仿宋_GB2312" w:cs="Times New Roman"/>
          <w:bCs/>
          <w:color w:val="auto"/>
          <w:sz w:val="32"/>
          <w:szCs w:val="32"/>
          <w:u w:val="none"/>
          <w:lang w:val="en-US" w:eastAsia="zh-CN"/>
        </w:rPr>
        <w:t>行政处罚。</w:t>
      </w:r>
    </w:p>
    <w:p w14:paraId="0C1FB1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应自接到本行政处罚决定书之日起十五日内，凭《广西壮族自治区非税收入电子缴款通知书》到中国建设银行或柳州银行缴纳上述款项（附言备注20位缴款通知书编号）。逾期不缴纳罚款的，根据《中华人民共和国行政处罚法》第七十二条的规定，我局将每日按罚款数额的百分之三加处罚款，并依法申请人民法院强制执行。</w:t>
      </w:r>
    </w:p>
    <w:p w14:paraId="623EAB0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如不服本行政处罚决定，可在接到本行政处罚决定书之日起60日内向柳州市柳北区人民政府申请行政复议；也可以在6个月内依法向柳州市柳南区人民法院提起行政诉讼。申请行政复议或者提起行政诉讼期间，行政处罚不停止执行。</w:t>
      </w:r>
    </w:p>
    <w:p w14:paraId="0B7D713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p>
    <w:p w14:paraId="4B49214E">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p>
    <w:p w14:paraId="7C849AD7">
      <w:pPr>
        <w:keepNext w:val="0"/>
        <w:keepLines w:val="0"/>
        <w:pageBreakBefore w:val="0"/>
        <w:widowControl w:val="0"/>
        <w:kinsoku/>
        <w:wordWrap/>
        <w:overflowPunct/>
        <w:topLinePunct w:val="0"/>
        <w:bidi w:val="0"/>
        <w:snapToGrid/>
        <w:spacing w:line="560" w:lineRule="exact"/>
        <w:ind w:right="640" w:firstLine="601"/>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none"/>
          <w:lang w:eastAsia="zh-CN"/>
        </w:rPr>
        <w:t>柳州市</w:t>
      </w:r>
      <w:r>
        <w:rPr>
          <w:rFonts w:hint="default" w:ascii="Times New Roman" w:hAnsi="Times New Roman" w:eastAsia="仿宋_GB2312" w:cs="Times New Roman"/>
          <w:color w:val="auto"/>
          <w:sz w:val="32"/>
          <w:szCs w:val="32"/>
          <w:highlight w:val="none"/>
          <w:u w:val="none"/>
        </w:rPr>
        <w:t>柳北区市场监督管理局</w:t>
      </w:r>
      <w:bookmarkEnd w:id="3"/>
      <w:r>
        <w:rPr>
          <w:rFonts w:hint="default" w:ascii="Times New Roman" w:hAnsi="Times New Roman" w:eastAsia="仿宋_GB2312" w:cs="Times New Roman"/>
          <w:color w:val="auto"/>
          <w:sz w:val="32"/>
          <w:szCs w:val="32"/>
          <w:highlight w:val="none"/>
          <w:u w:val="none"/>
        </w:rPr>
        <w:t xml:space="preserve">    </w:t>
      </w:r>
    </w:p>
    <w:p w14:paraId="70854120">
      <w:pPr>
        <w:keepNext w:val="0"/>
        <w:keepLines w:val="0"/>
        <w:pageBreakBefore w:val="0"/>
        <w:widowControl w:val="0"/>
        <w:kinsoku/>
        <w:wordWrap/>
        <w:overflowPunct/>
        <w:topLinePunct w:val="0"/>
        <w:autoSpaceDE/>
        <w:autoSpaceDN/>
        <w:bidi w:val="0"/>
        <w:adjustRightInd/>
        <w:snapToGrid/>
        <w:spacing w:line="560" w:lineRule="exact"/>
        <w:ind w:right="630" w:rightChars="300" w:firstLine="4480" w:firstLineChars="1400"/>
        <w:jc w:val="both"/>
        <w:textAlignment w:val="auto"/>
        <w:outlineLvl w:val="9"/>
        <w:rPr>
          <w:rFonts w:hint="default" w:ascii="Times New Roman" w:hAnsi="Times New Roman" w:eastAsia="仿宋_GB2312" w:cs="Times New Roman"/>
          <w:color w:val="auto"/>
          <w:sz w:val="32"/>
          <w:szCs w:val="32"/>
          <w:highlight w:val="none"/>
          <w:u w:val="none"/>
        </w:rPr>
      </w:pPr>
      <w:bookmarkStart w:id="4" w:name="CALCULATE—TIME—NOW"/>
      <w:r>
        <w:rPr>
          <w:rFonts w:hint="default" w:ascii="Times New Roman" w:hAnsi="Times New Roman" w:eastAsia="仿宋_GB2312" w:cs="Times New Roman"/>
          <w:color w:val="auto"/>
          <w:sz w:val="32"/>
          <w:szCs w:val="32"/>
        </w:rPr>
        <w:t>2026年</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日</w:t>
      </w:r>
      <w:bookmarkEnd w:id="4"/>
      <w:r>
        <w:rPr>
          <w:rFonts w:hint="default" w:ascii="Times New Roman" w:hAnsi="Times New Roman" w:eastAsia="仿宋_GB2312" w:cs="Times New Roman"/>
          <w:color w:val="auto"/>
          <w:sz w:val="32"/>
          <w:szCs w:val="32"/>
          <w:highlight w:val="none"/>
          <w:u w:val="none"/>
        </w:rPr>
        <w:t xml:space="preserve">  </w:t>
      </w:r>
    </w:p>
    <w:p w14:paraId="0B3BC167">
      <w:pPr>
        <w:pStyle w:val="10"/>
        <w:rPr>
          <w:rFonts w:hint="default" w:ascii="Times New Roman" w:hAnsi="Times New Roman" w:eastAsia="仿宋_GB2312" w:cs="Times New Roman"/>
          <w:color w:val="000000"/>
          <w:sz w:val="32"/>
          <w:szCs w:val="32"/>
          <w:highlight w:val="none"/>
          <w:u w:val="none"/>
        </w:rPr>
      </w:pPr>
    </w:p>
    <w:p w14:paraId="06B2B2FC">
      <w:pPr>
        <w:pStyle w:val="10"/>
        <w:rPr>
          <w:rFonts w:hint="default" w:ascii="Times New Roman" w:hAnsi="Times New Roman" w:eastAsia="仿宋_GB2312" w:cs="Times New Roman"/>
          <w:color w:val="000000"/>
          <w:sz w:val="32"/>
          <w:szCs w:val="32"/>
          <w:highlight w:val="none"/>
          <w:u w:val="none"/>
        </w:rPr>
      </w:pPr>
    </w:p>
    <w:p w14:paraId="0E60C10F">
      <w:pPr>
        <w:pStyle w:val="10"/>
        <w:rPr>
          <w:rFonts w:hint="default" w:ascii="Times New Roman" w:hAnsi="Times New Roman" w:eastAsia="仿宋_GB2312" w:cs="Times New Roman"/>
          <w:color w:val="000000"/>
          <w:sz w:val="32"/>
          <w:szCs w:val="32"/>
          <w:highlight w:val="none"/>
          <w:u w:val="none"/>
        </w:rPr>
      </w:pPr>
    </w:p>
    <w:p w14:paraId="197D8408">
      <w:pPr>
        <w:pStyle w:val="10"/>
        <w:rPr>
          <w:rFonts w:hint="eastAsia" w:ascii="Times New Roman" w:hAnsi="Times New Roman" w:eastAsia="仿宋_GB2312" w:cs="仿宋_GB2312"/>
          <w:color w:val="000000"/>
          <w:sz w:val="32"/>
          <w:szCs w:val="32"/>
          <w:highlight w:val="none"/>
          <w:u w:val="none"/>
        </w:rPr>
      </w:pPr>
    </w:p>
    <w:p w14:paraId="26FF7B98">
      <w:pPr>
        <w:pStyle w:val="10"/>
        <w:rPr>
          <w:rFonts w:hint="eastAsia" w:ascii="Times New Roman" w:hAnsi="Times New Roman" w:eastAsia="仿宋_GB2312" w:cs="仿宋_GB2312"/>
          <w:color w:val="000000"/>
          <w:sz w:val="32"/>
          <w:szCs w:val="32"/>
          <w:highlight w:val="none"/>
          <w:u w:val="none"/>
        </w:rPr>
      </w:pPr>
    </w:p>
    <w:p w14:paraId="347F8280">
      <w:pPr>
        <w:pStyle w:val="10"/>
        <w:rPr>
          <w:rFonts w:hint="eastAsia" w:ascii="Times New Roman" w:hAnsi="Times New Roman" w:eastAsia="仿宋_GB2312" w:cs="仿宋_GB2312"/>
          <w:color w:val="000000"/>
          <w:sz w:val="32"/>
          <w:szCs w:val="32"/>
          <w:highlight w:val="none"/>
          <w:u w:val="none"/>
        </w:rPr>
      </w:pPr>
    </w:p>
    <w:p w14:paraId="44AEF01F">
      <w:pPr>
        <w:pStyle w:val="4"/>
        <w:keepNext w:val="0"/>
        <w:keepLines w:val="0"/>
        <w:pageBreakBefore w:val="0"/>
        <w:widowControl w:val="0"/>
        <w:kinsoku/>
        <w:wordWrap/>
        <w:overflowPunct/>
        <w:topLinePunct w:val="0"/>
        <w:bidi w:val="0"/>
        <w:snapToGrid/>
        <w:spacing w:line="560" w:lineRule="exact"/>
        <w:ind w:left="0"/>
        <w:textAlignment w:val="auto"/>
        <w:rPr>
          <w:rFonts w:hint="eastAsia" w:ascii="黑体" w:hAnsi="黑体" w:eastAsia="黑体"/>
          <w:color w:val="000000"/>
          <w:spacing w:val="0"/>
          <w:sz w:val="32"/>
          <w:highlight w:val="none"/>
          <w:u w:val="none"/>
        </w:rPr>
      </w:pPr>
    </w:p>
    <w:p w14:paraId="6F98419A">
      <w:pPr>
        <w:pStyle w:val="4"/>
        <w:keepNext w:val="0"/>
        <w:keepLines w:val="0"/>
        <w:pageBreakBefore w:val="0"/>
        <w:widowControl w:val="0"/>
        <w:kinsoku/>
        <w:wordWrap/>
        <w:overflowPunct/>
        <w:topLinePunct w:val="0"/>
        <w:bidi w:val="0"/>
        <w:snapToGrid/>
        <w:spacing w:line="560" w:lineRule="exact"/>
        <w:ind w:left="0"/>
        <w:textAlignment w:val="auto"/>
        <w:rPr>
          <w:rFonts w:ascii="Times New Roman" w:hAnsi="Times New Roman" w:eastAsia="仿宋_GB2312" w:cs="仿宋"/>
          <w:bCs/>
          <w:color w:val="auto"/>
          <w:sz w:val="44"/>
          <w:szCs w:val="44"/>
          <w:highlight w:val="none"/>
        </w:rPr>
      </w:pPr>
      <w:r>
        <w:rPr>
          <w:rFonts w:ascii="Times New Roman" w:hAnsi="Times New Roman" w:eastAsia="仿宋_GB2312"/>
          <w:color w:val="000000"/>
          <w:spacing w:val="0"/>
          <w:sz w:val="32"/>
          <w:highlight w:val="none"/>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0"/>
          <w:sz w:val="32"/>
          <w:highlight w:val="none"/>
          <w:u w:val="none"/>
        </w:rPr>
        <w:t>（市场监督管理部门将依法向社会公开行政处罚决定信息）</w:t>
      </w:r>
    </w:p>
    <w:p w14:paraId="5EE42D46">
      <w:pPr>
        <w:keepNext w:val="0"/>
        <w:keepLines w:val="0"/>
        <w:pageBreakBefore w:val="0"/>
        <w:widowControl w:val="0"/>
        <w:kinsoku/>
        <w:wordWrap/>
        <w:overflowPunct/>
        <w:topLinePunct w:val="0"/>
        <w:bidi w:val="0"/>
        <w:snapToGrid/>
        <w:spacing w:line="560" w:lineRule="exact"/>
        <w:ind w:left="0"/>
        <w:textAlignment w:val="auto"/>
        <w:rPr>
          <w:color w:val="auto"/>
        </w:rPr>
      </w:pPr>
      <w:r>
        <w:rPr>
          <w:rFonts w:hint="eastAsia" w:ascii="仿宋_GB2312" w:hAnsi="仿宋_GB2312" w:eastAsia="仿宋_GB2312" w:cs="仿宋_GB2312"/>
          <w:bCs/>
          <w:color w:val="000000"/>
          <w:sz w:val="32"/>
          <w:szCs w:val="32"/>
          <w:highlight w:val="none"/>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bCs/>
          <w:color w:val="000000"/>
          <w:sz w:val="32"/>
          <w:szCs w:val="32"/>
          <w:highlight w:val="none"/>
          <w:u w:val="none"/>
          <w:lang w:val="en-US" w:eastAsia="zh-CN"/>
        </w:rPr>
        <w:t>本文书一式三份，一份送达，一份归档，一份办案单位留存</w:t>
      </w:r>
      <w:r>
        <w:rPr>
          <w:rFonts w:hint="eastAsia" w:ascii="Times New Roman" w:hAnsi="Times New Roman" w:eastAsia="仿宋_GB2312" w:cs="仿宋"/>
          <w:color w:val="000000"/>
          <w:sz w:val="32"/>
          <w:szCs w:val="32"/>
          <w:highlight w:val="none"/>
          <w:u w:val="none"/>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8EB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5241D">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15241D">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16749"/>
    <w:rsid w:val="02B83402"/>
    <w:rsid w:val="042774DD"/>
    <w:rsid w:val="048D2705"/>
    <w:rsid w:val="04CD463F"/>
    <w:rsid w:val="04FA4431"/>
    <w:rsid w:val="05AA17FE"/>
    <w:rsid w:val="05C51508"/>
    <w:rsid w:val="06476E0A"/>
    <w:rsid w:val="06BAE61F"/>
    <w:rsid w:val="071C7669"/>
    <w:rsid w:val="07580619"/>
    <w:rsid w:val="0776795A"/>
    <w:rsid w:val="07DA78EE"/>
    <w:rsid w:val="08365B64"/>
    <w:rsid w:val="087864F3"/>
    <w:rsid w:val="090B4D3A"/>
    <w:rsid w:val="09290BEC"/>
    <w:rsid w:val="09AA7B69"/>
    <w:rsid w:val="09F31262"/>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71F3E7E"/>
    <w:rsid w:val="18325353"/>
    <w:rsid w:val="188449CB"/>
    <w:rsid w:val="18B229B2"/>
    <w:rsid w:val="19871CEE"/>
    <w:rsid w:val="19EE2997"/>
    <w:rsid w:val="19FE4517"/>
    <w:rsid w:val="1AE345F4"/>
    <w:rsid w:val="1B37398D"/>
    <w:rsid w:val="1C60543A"/>
    <w:rsid w:val="1C7339BB"/>
    <w:rsid w:val="1C7A5BA8"/>
    <w:rsid w:val="1E664711"/>
    <w:rsid w:val="1EC222D9"/>
    <w:rsid w:val="1F2B5D07"/>
    <w:rsid w:val="1FC004DE"/>
    <w:rsid w:val="1FD31F15"/>
    <w:rsid w:val="21165322"/>
    <w:rsid w:val="212E3259"/>
    <w:rsid w:val="213F6812"/>
    <w:rsid w:val="21E32E28"/>
    <w:rsid w:val="22287087"/>
    <w:rsid w:val="226A16D4"/>
    <w:rsid w:val="237778B4"/>
    <w:rsid w:val="23F5677C"/>
    <w:rsid w:val="24626694"/>
    <w:rsid w:val="258D6CE0"/>
    <w:rsid w:val="262C5C89"/>
    <w:rsid w:val="27A45517"/>
    <w:rsid w:val="2A4F0978"/>
    <w:rsid w:val="2B1B3EFC"/>
    <w:rsid w:val="2CEA3815"/>
    <w:rsid w:val="2DE10173"/>
    <w:rsid w:val="2F14184F"/>
    <w:rsid w:val="2F327E79"/>
    <w:rsid w:val="2F7CE1EF"/>
    <w:rsid w:val="2F8A6913"/>
    <w:rsid w:val="30BC3FAC"/>
    <w:rsid w:val="30DB5683"/>
    <w:rsid w:val="30FA2F6D"/>
    <w:rsid w:val="31075B7E"/>
    <w:rsid w:val="312746E5"/>
    <w:rsid w:val="31562B39"/>
    <w:rsid w:val="31BE0AF5"/>
    <w:rsid w:val="32CE76E8"/>
    <w:rsid w:val="3334290F"/>
    <w:rsid w:val="33740640"/>
    <w:rsid w:val="354958F4"/>
    <w:rsid w:val="3585615B"/>
    <w:rsid w:val="363C12E3"/>
    <w:rsid w:val="368E5656"/>
    <w:rsid w:val="377FBB27"/>
    <w:rsid w:val="37F16547"/>
    <w:rsid w:val="38B63DA7"/>
    <w:rsid w:val="3930619F"/>
    <w:rsid w:val="3A4E178D"/>
    <w:rsid w:val="3BF97ECA"/>
    <w:rsid w:val="3C2965F0"/>
    <w:rsid w:val="3D6B1177"/>
    <w:rsid w:val="3D6D6452"/>
    <w:rsid w:val="3DB91E78"/>
    <w:rsid w:val="3E5F4AE1"/>
    <w:rsid w:val="3E853745"/>
    <w:rsid w:val="3F2604DF"/>
    <w:rsid w:val="3F6783E4"/>
    <w:rsid w:val="3F842066"/>
    <w:rsid w:val="3FFF82D4"/>
    <w:rsid w:val="402E7C06"/>
    <w:rsid w:val="404774DA"/>
    <w:rsid w:val="40FE5F8F"/>
    <w:rsid w:val="425049CE"/>
    <w:rsid w:val="442B16EC"/>
    <w:rsid w:val="458F64B9"/>
    <w:rsid w:val="45C51FFB"/>
    <w:rsid w:val="46157ACD"/>
    <w:rsid w:val="47243FC5"/>
    <w:rsid w:val="48C10000"/>
    <w:rsid w:val="4A555101"/>
    <w:rsid w:val="4ADF49AE"/>
    <w:rsid w:val="4B8F0B22"/>
    <w:rsid w:val="4C02380F"/>
    <w:rsid w:val="4C31118F"/>
    <w:rsid w:val="4C7C04B3"/>
    <w:rsid w:val="4CC8271B"/>
    <w:rsid w:val="4D9306AE"/>
    <w:rsid w:val="4E8950D9"/>
    <w:rsid w:val="4F722566"/>
    <w:rsid w:val="4F93378A"/>
    <w:rsid w:val="501D64F0"/>
    <w:rsid w:val="503F09B5"/>
    <w:rsid w:val="516D5500"/>
    <w:rsid w:val="52802336"/>
    <w:rsid w:val="52A35FE1"/>
    <w:rsid w:val="53A0483E"/>
    <w:rsid w:val="547C0750"/>
    <w:rsid w:val="55FE5622"/>
    <w:rsid w:val="57503162"/>
    <w:rsid w:val="58A4140A"/>
    <w:rsid w:val="591F0542"/>
    <w:rsid w:val="59A10938"/>
    <w:rsid w:val="5BA419F7"/>
    <w:rsid w:val="5BEF1DBF"/>
    <w:rsid w:val="5BF91583"/>
    <w:rsid w:val="5BFB2E57"/>
    <w:rsid w:val="5C1B042B"/>
    <w:rsid w:val="5C466CF1"/>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5543A9"/>
    <w:rsid w:val="6BA277B7"/>
    <w:rsid w:val="6BCC1BB9"/>
    <w:rsid w:val="6C6723F1"/>
    <w:rsid w:val="6CA517CF"/>
    <w:rsid w:val="6D064CEC"/>
    <w:rsid w:val="6D6C7F13"/>
    <w:rsid w:val="6D923254"/>
    <w:rsid w:val="6DD2313B"/>
    <w:rsid w:val="6E0127D0"/>
    <w:rsid w:val="6E04767D"/>
    <w:rsid w:val="6E355D52"/>
    <w:rsid w:val="6E6950E9"/>
    <w:rsid w:val="6ED952C0"/>
    <w:rsid w:val="6F013B3F"/>
    <w:rsid w:val="6F732ABB"/>
    <w:rsid w:val="6FAC3760"/>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000C98"/>
    <w:rsid w:val="770C0E80"/>
    <w:rsid w:val="77DF8BD4"/>
    <w:rsid w:val="77EFD5CC"/>
    <w:rsid w:val="77FFADAC"/>
    <w:rsid w:val="7835649C"/>
    <w:rsid w:val="789620E4"/>
    <w:rsid w:val="78FD530C"/>
    <w:rsid w:val="796A2013"/>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24cb9dac-516b-4bef-a89b-4de7d209fa4a</errorID>
      <errorWord>,</errorWord>
      <group>L1_Format</group>
      <groupName>格式问题</groupName>
      <ability>L2_HalfPunc_CN</ability>
      <abilityName>全半角问题</abilityName>
      <candidateList>
        <item>，</item>
      </candidateList>
      <explain>文本全半角错误。</explain>
      <paraID>1FB42211</paraID>
      <start>78</start>
      <end>79</end>
      <status>modified</status>
      <modifiedWord>，</modifiedWord>
      <trackRevisions>false</trackRevisions>
    </reviewItem>
    <reviewItem>
      <errorID>adb77d6a-edf0-4be4-a36d-0f29b5947899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276D10C7</paraID>
      <start>11</start>
      <end>13</end>
      <status>modified</status>
      <modifiedWord>》《</modifiedWord>
      <trackRevisions>false</trackRevisions>
    </reviewItem>
    <reviewItem>
      <errorID>501673c2-7790-4b4b-8dd8-dec074e2c690</errorID>
      <errorWord>,</errorWord>
      <group>L1_Format</group>
      <groupName>格式问题</groupName>
      <ability>L2_HalfPunc_CN</ability>
      <abilityName>全半角问题</abilityName>
      <candidateList>
        <item>，</item>
      </candidateList>
      <explain>文本全半角错误。</explain>
      <paraID>4F343E53</paraID>
      <start>64</start>
      <end>65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b8d117-2651-4c8b-a646-f736c196d91d}">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2017</Words>
  <Characters>2144</Characters>
  <Lines>0</Lines>
  <Paragraphs>0</Paragraphs>
  <TotalTime>74</TotalTime>
  <ScaleCrop>false</ScaleCrop>
  <LinksUpToDate>false</LinksUpToDate>
  <CharactersWithSpaces>2165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2026-09-08T02:22:20Z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DFA57AE453AD49CEB4B9F1CA507FEBAA_13</vt:lpwstr>
  </property>
  <property fmtid="{D5CDD505-2E9C-101B-9397-08002B2CF9AE}" pid="4" name="KSOTemplateDocerSaveRecord">
    <vt:lpwstr>eyJoZGlkIjoiNjljYzBiNmJkNjNmYjA3MDkwNzQ4ZTM5NDc1MTY5NDgiLCJ1c2VySWQiOiI5MTQwNjk2NTMifQ==</vt:lpwstr>
  </property>
</Properties>
</file>