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AD815">
      <w:pPr>
        <w:numPr>
          <w:ilvl w:val="0"/>
          <w:numId w:val="2"/>
        </w:numPr>
        <w:spacing w:line="640" w:lineRule="exact"/>
        <w:jc w:val="center"/>
        <w:outlineLvl w:val="0"/>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37E8564D">
      <w:pPr>
        <w:pStyle w:val="3"/>
        <w:keepNext w:val="0"/>
        <w:numPr>
          <w:ilvl w:val="0"/>
          <w:numId w:val="2"/>
        </w:numPr>
        <w:spacing w:before="0" w:after="0" w:line="640" w:lineRule="exact"/>
        <w:jc w:val="center"/>
        <w:rPr>
          <w:rFonts w:hint="default" w:ascii="Times New Roman" w:hAnsi="Times New Roman" w:cs="Times New Roman"/>
          <w:color w:val="auto"/>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4F44526F">
      <w:pPr>
        <w:keepLines w:val="0"/>
        <w:pageBreakBefore w:val="0"/>
        <w:widowControl/>
        <w:kinsoku/>
        <w:wordWrap/>
        <w:overflowPunct/>
        <w:topLinePunct w:val="0"/>
        <w:bidi w:val="0"/>
        <w:snapToGrid w:val="0"/>
        <w:spacing w:line="560" w:lineRule="exact"/>
        <w:ind w:right="55"/>
        <w:jc w:val="center"/>
        <w:outlineLvl w:val="1"/>
        <w:rPr>
          <w:rFonts w:hint="default" w:ascii="Times New Roman" w:hAnsi="Times New Roman" w:eastAsia="仿宋_GB2312" w:cs="Times New Roman"/>
          <w:color w:val="auto"/>
          <w:sz w:val="32"/>
        </w:rPr>
      </w:pPr>
      <w:bookmarkStart w:id="2" w:name="tAj_wh"/>
      <w:r>
        <w:rPr>
          <w:rFonts w:hint="default" w:ascii="Times New Roman" w:hAnsi="Times New Roman" w:eastAsia="仿宋_GB2312" w:cs="Times New Roman"/>
          <w:color w:val="auto"/>
          <w:sz w:val="32"/>
          <w:u w:val="none"/>
        </w:rPr>
        <w:t>柳北市监处罚〔2026〕</w:t>
      </w:r>
      <w:r>
        <w:rPr>
          <w:rFonts w:hint="eastAsia" w:ascii="Times New Roman" w:hAnsi="Times New Roman" w:eastAsia="仿宋_GB2312" w:cs="Times New Roman"/>
          <w:color w:val="auto"/>
          <w:sz w:val="32"/>
          <w:u w:val="none"/>
          <w:lang w:val="en-US" w:eastAsia="zh-CN"/>
        </w:rPr>
        <w:t>111</w:t>
      </w:r>
      <w:bookmarkStart w:id="5" w:name="_GoBack"/>
      <w:bookmarkEnd w:id="5"/>
      <w:r>
        <w:rPr>
          <w:rFonts w:hint="default" w:ascii="Times New Roman" w:hAnsi="Times New Roman" w:eastAsia="仿宋_GB2312" w:cs="Times New Roman"/>
          <w:color w:val="auto"/>
          <w:sz w:val="32"/>
          <w:u w:val="none"/>
          <w:lang w:val="en-US" w:eastAsia="zh-CN"/>
        </w:rPr>
        <w:t xml:space="preserve"> </w:t>
      </w:r>
      <w:r>
        <w:rPr>
          <w:rFonts w:hint="default" w:ascii="Times New Roman" w:hAnsi="Times New Roman" w:eastAsia="仿宋_GB2312" w:cs="Times New Roman"/>
          <w:color w:val="auto"/>
          <w:sz w:val="32"/>
          <w:u w:val="none"/>
        </w:rPr>
        <w:t>号</w:t>
      </w:r>
      <w:bookmarkEnd w:id="2"/>
    </w:p>
    <w:p w14:paraId="631939A5">
      <w:pPr>
        <w:pStyle w:val="2"/>
        <w:keepLines w:val="0"/>
        <w:pageBreakBefore w:val="0"/>
        <w:kinsoku/>
        <w:wordWrap/>
        <w:overflowPunct/>
        <w:topLinePunct w:val="0"/>
        <w:bidi w:val="0"/>
        <w:spacing w:line="560" w:lineRule="exact"/>
        <w:rPr>
          <w:rFonts w:hint="default" w:ascii="Times New Roman" w:hAnsi="Times New Roman" w:cs="Times New Roman"/>
          <w:color w:val="auto"/>
        </w:rPr>
      </w:pPr>
    </w:p>
    <w:p w14:paraId="72625A99">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b w:val="0"/>
          <w:bCs w:val="0"/>
          <w:color w:val="auto"/>
          <w:sz w:val="32"/>
          <w:szCs w:val="32"/>
          <w:highlight w:val="none"/>
          <w:u w:val="none"/>
          <w:lang w:eastAsia="zh-CN"/>
        </w:rPr>
        <w:t>当事人：</w:t>
      </w:r>
      <w:r>
        <w:rPr>
          <w:rFonts w:hint="default" w:ascii="Times New Roman" w:hAnsi="Times New Roman" w:eastAsia="仿宋_GB2312" w:cs="Times New Roman"/>
          <w:color w:val="auto"/>
          <w:sz w:val="32"/>
          <w:szCs w:val="32"/>
          <w:highlight w:val="none"/>
          <w:lang w:eastAsia="zh-CN"/>
        </w:rPr>
        <w:t>柳州市柳北区柒零餐馆</w:t>
      </w:r>
    </w:p>
    <w:p w14:paraId="4C8E93E4">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eastAsia="zh-CN"/>
        </w:rPr>
        <w:t>主体资格证照名称：</w:t>
      </w:r>
      <w:r>
        <w:rPr>
          <w:rFonts w:hint="default" w:ascii="Times New Roman" w:hAnsi="Times New Roman" w:eastAsia="仿宋_GB2312" w:cs="Times New Roman"/>
          <w:b w:val="0"/>
          <w:bCs w:val="0"/>
          <w:color w:val="auto"/>
          <w:sz w:val="32"/>
          <w:szCs w:val="32"/>
          <w:highlight w:val="none"/>
          <w:u w:val="none"/>
          <w:lang w:val="en-US" w:eastAsia="zh-CN"/>
        </w:rPr>
        <w:t>营业执照</w:t>
      </w:r>
    </w:p>
    <w:p w14:paraId="190AAB50">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注册号：450205600202994</w:t>
      </w:r>
    </w:p>
    <w:p w14:paraId="52D16B74">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bCs/>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经营场所：</w:t>
      </w:r>
      <w:r>
        <w:rPr>
          <w:rFonts w:hint="default" w:ascii="Times New Roman" w:hAnsi="Times New Roman" w:eastAsia="仿宋_GB2312" w:cs="Times New Roman"/>
          <w:color w:val="auto"/>
          <w:sz w:val="32"/>
          <w:szCs w:val="32"/>
          <w:highlight w:val="none"/>
        </w:rPr>
        <w:t>柳州市雅莲村4队雅儒路186号</w:t>
      </w:r>
    </w:p>
    <w:p w14:paraId="53889A77">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none"/>
          <w:lang w:val="en-US" w:eastAsia="zh-CN"/>
        </w:rPr>
        <w:t>经营者：</w:t>
      </w:r>
      <w:r>
        <w:rPr>
          <w:rFonts w:hint="default" w:ascii="Times New Roman" w:hAnsi="Times New Roman" w:eastAsia="仿宋_GB2312" w:cs="Times New Roman"/>
          <w:color w:val="auto"/>
          <w:sz w:val="32"/>
          <w:szCs w:val="32"/>
          <w:highlight w:val="none"/>
        </w:rPr>
        <w:t>覃海全</w:t>
      </w:r>
    </w:p>
    <w:p w14:paraId="128263A1">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jc w:val="both"/>
        <w:textAlignment w:val="baseline"/>
        <w:outlineLvl w:val="9"/>
        <w:rPr>
          <w:rFonts w:hint="eastAsia"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val="0"/>
          <w:bCs w:val="0"/>
          <w:color w:val="auto"/>
          <w:sz w:val="32"/>
          <w:szCs w:val="32"/>
          <w:highlight w:val="none"/>
          <w:u w:val="none"/>
          <w:lang w:eastAsia="zh-CN"/>
        </w:rPr>
        <w:t>身份证</w:t>
      </w:r>
      <w:r>
        <w:rPr>
          <w:rFonts w:hint="default" w:ascii="Times New Roman" w:hAnsi="Times New Roman" w:eastAsia="仿宋_GB2312" w:cs="Times New Roman"/>
          <w:b w:val="0"/>
          <w:bCs w:val="0"/>
          <w:color w:val="auto"/>
          <w:sz w:val="32"/>
          <w:szCs w:val="32"/>
          <w:highlight w:val="none"/>
          <w:u w:val="none"/>
          <w:lang w:val="en-US" w:eastAsia="zh-CN"/>
        </w:rPr>
        <w:t>件</w:t>
      </w:r>
      <w:r>
        <w:rPr>
          <w:rFonts w:hint="default" w:ascii="Times New Roman" w:hAnsi="Times New Roman" w:eastAsia="仿宋_GB2312" w:cs="Times New Roman"/>
          <w:b w:val="0"/>
          <w:bCs w:val="0"/>
          <w:color w:val="auto"/>
          <w:sz w:val="32"/>
          <w:szCs w:val="32"/>
          <w:highlight w:val="none"/>
          <w:u w:val="none"/>
          <w:lang w:eastAsia="zh-CN"/>
        </w:rPr>
        <w:t>号码：</w:t>
      </w:r>
      <w:r>
        <w:rPr>
          <w:rFonts w:hint="eastAsia" w:ascii="Times New Roman" w:hAnsi="Times New Roman" w:eastAsia="仿宋_GB2312" w:cs="Times New Roman"/>
          <w:color w:val="auto"/>
          <w:sz w:val="32"/>
          <w:szCs w:val="32"/>
          <w:highlight w:val="none"/>
          <w:lang w:val="en-US" w:eastAsia="zh-CN"/>
        </w:rPr>
        <w:t>*</w:t>
      </w:r>
    </w:p>
    <w:p w14:paraId="0BDAD10E">
      <w:pPr>
        <w:keepNext/>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color="auto"/>
          <w:lang w:val="en-US" w:eastAsia="zh-CN"/>
        </w:rPr>
        <w:t>2026年4月15日，我局收到自治区市场监督管理局移交的线索称当事人在美团平台开设的网店“</w:t>
      </w:r>
      <w:r>
        <w:rPr>
          <w:rFonts w:hint="eastAsia" w:ascii="Times New Roman" w:hAnsi="Times New Roman" w:eastAsia="仿宋_GB2312" w:cs="Times New Roman"/>
          <w:color w:val="auto"/>
          <w:sz w:val="32"/>
          <w:szCs w:val="32"/>
          <w:highlight w:val="none"/>
          <w:u w:val="none" w:color="auto"/>
          <w:lang w:val="en-US" w:eastAsia="zh-CN"/>
        </w:rPr>
        <w:t>*</w:t>
      </w:r>
      <w:r>
        <w:rPr>
          <w:rFonts w:hint="default" w:ascii="Times New Roman" w:hAnsi="Times New Roman" w:eastAsia="仿宋_GB2312" w:cs="Times New Roman"/>
          <w:color w:val="auto"/>
          <w:sz w:val="32"/>
          <w:szCs w:val="32"/>
          <w:highlight w:val="none"/>
          <w:u w:val="none" w:color="auto"/>
          <w:lang w:val="en-US" w:eastAsia="zh-CN"/>
        </w:rPr>
        <w:t>大闸蟹皮皮虾奥龙罗氏虾（烤鱼.生蚝海鲜粥.卤龙虾）”内公示的食品证件信息与自治区审批系统的数据未能匹配。我局执法人员通过广西市场监管准入一体化平台查询当事人在美团平台开设的网店“</w:t>
      </w:r>
      <w:r>
        <w:rPr>
          <w:rFonts w:hint="eastAsia" w:ascii="Times New Roman" w:hAnsi="Times New Roman" w:eastAsia="仿宋_GB2312" w:cs="Times New Roman"/>
          <w:color w:val="auto"/>
          <w:sz w:val="32"/>
          <w:szCs w:val="32"/>
          <w:highlight w:val="none"/>
          <w:u w:val="none" w:color="auto"/>
          <w:lang w:val="en-US" w:eastAsia="zh-CN"/>
        </w:rPr>
        <w:t>*</w:t>
      </w:r>
      <w:r>
        <w:rPr>
          <w:rFonts w:hint="default" w:ascii="Times New Roman" w:hAnsi="Times New Roman" w:eastAsia="仿宋_GB2312" w:cs="Times New Roman"/>
          <w:color w:val="auto"/>
          <w:sz w:val="32"/>
          <w:szCs w:val="32"/>
          <w:highlight w:val="none"/>
          <w:u w:val="none" w:color="auto"/>
          <w:lang w:val="en-US" w:eastAsia="zh-CN"/>
        </w:rPr>
        <w:t>大闸蟹皮皮虾奥龙罗氏虾（烤鱼.生蚝海鲜粥.卤龙虾）”公示的《营业执照》信息“</w:t>
      </w:r>
      <w:r>
        <w:rPr>
          <w:rFonts w:hint="default" w:ascii="Times New Roman" w:hAnsi="Times New Roman" w:eastAsia="仿宋_GB2312" w:cs="Times New Roman"/>
          <w:color w:val="auto"/>
          <w:sz w:val="32"/>
          <w:szCs w:val="32"/>
          <w:highlight w:val="none"/>
          <w:lang w:eastAsia="zh-CN"/>
        </w:rPr>
        <w:t>柳州市柳北区柒零餐馆</w:t>
      </w:r>
      <w:r>
        <w:rPr>
          <w:rFonts w:hint="default" w:ascii="Times New Roman" w:hAnsi="Times New Roman" w:eastAsia="仿宋_GB2312" w:cs="Times New Roman"/>
          <w:color w:val="auto"/>
          <w:sz w:val="32"/>
          <w:szCs w:val="32"/>
          <w:highlight w:val="none"/>
          <w:u w:val="none" w:color="auto"/>
          <w:lang w:val="en-US" w:eastAsia="zh-CN"/>
        </w:rPr>
        <w:t>”，未能找到相关的《食品经营许可证》信息。</w:t>
      </w:r>
      <w:r>
        <w:rPr>
          <w:rFonts w:hint="default" w:ascii="Times New Roman" w:hAnsi="Times New Roman" w:eastAsia="仿宋_GB2312" w:cs="Times New Roman"/>
          <w:b w:val="0"/>
          <w:bCs w:val="0"/>
          <w:color w:val="auto"/>
          <w:sz w:val="32"/>
          <w:szCs w:val="32"/>
          <w:highlight w:val="none"/>
          <w:u w:val="none" w:color="auto"/>
          <w:lang w:val="en-US" w:eastAsia="zh-CN"/>
        </w:rPr>
        <w:t>当事人上述行为涉嫌违反《网络食品安全违法行为查处办法》第四条第二款的规定，</w:t>
      </w:r>
      <w:r>
        <w:rPr>
          <w:rFonts w:hint="default" w:ascii="Times New Roman" w:hAnsi="Times New Roman" w:eastAsia="仿宋_GB2312" w:cs="Times New Roman"/>
          <w:color w:val="auto"/>
          <w:sz w:val="32"/>
          <w:szCs w:val="32"/>
          <w:highlight w:val="none"/>
          <w:lang w:val="en-US" w:eastAsia="zh-CN"/>
        </w:rPr>
        <w:t>为进一步查明事实，我局于2026年05月07日对当事人进行立案调查。</w:t>
      </w:r>
    </w:p>
    <w:p w14:paraId="2FCE04BA">
      <w:pPr>
        <w:keepNext/>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lang w:val="en-US" w:eastAsia="zh-CN"/>
        </w:rPr>
        <w:t>经查实，当事人在“美团”平台上开设有店铺名称为“</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大闸蟹皮皮虾奥龙罗氏虾（烤鱼.生蚝海鲜粥.卤龙虾）”的网络餐饮店，并在该网络餐饮店上公示了注册号为450205600202994的《营业执照》，公示了许可证编号为JY24502050038942的《食品经营许可证》（有效期至2030年12月04日）。</w:t>
      </w:r>
      <w:r>
        <w:rPr>
          <w:rFonts w:hint="default" w:ascii="Times New Roman" w:hAnsi="Times New Roman" w:eastAsia="仿宋_GB2312" w:cs="Times New Roman"/>
          <w:b w:val="0"/>
          <w:bCs w:val="0"/>
          <w:color w:val="auto"/>
          <w:sz w:val="32"/>
          <w:szCs w:val="32"/>
          <w:highlight w:val="none"/>
          <w:u w:val="none" w:color="auto"/>
          <w:lang w:val="en-US" w:eastAsia="zh-CN"/>
        </w:rPr>
        <w:t>当事人无法说明该《食品经营许可证》的来源，</w:t>
      </w:r>
      <w:r>
        <w:rPr>
          <w:rFonts w:hint="default" w:ascii="Times New Roman" w:hAnsi="Times New Roman" w:eastAsia="仿宋_GB2312" w:cs="Times New Roman"/>
          <w:color w:val="auto"/>
          <w:sz w:val="32"/>
          <w:szCs w:val="32"/>
          <w:highlight w:val="none"/>
          <w:lang w:val="en-US" w:eastAsia="zh-CN"/>
        </w:rPr>
        <w:t>执法人员通过</w:t>
      </w:r>
      <w:r>
        <w:rPr>
          <w:rFonts w:hint="default" w:ascii="Times New Roman" w:hAnsi="Times New Roman" w:eastAsia="仿宋_GB2312" w:cs="Times New Roman"/>
          <w:color w:val="auto"/>
          <w:sz w:val="32"/>
          <w:szCs w:val="32"/>
          <w:highlight w:val="none"/>
          <w:u w:val="none" w:color="auto"/>
          <w:lang w:val="en-US" w:eastAsia="zh-CN"/>
        </w:rPr>
        <w:t>广西市场监管准入一体化平台</w:t>
      </w:r>
      <w:r>
        <w:rPr>
          <w:rFonts w:hint="default" w:ascii="Times New Roman" w:hAnsi="Times New Roman" w:eastAsia="仿宋_GB2312" w:cs="Times New Roman"/>
          <w:b w:val="0"/>
          <w:bCs w:val="0"/>
          <w:color w:val="auto"/>
          <w:sz w:val="32"/>
          <w:szCs w:val="32"/>
          <w:highlight w:val="none"/>
          <w:u w:val="none" w:color="auto"/>
          <w:lang w:val="en-US" w:eastAsia="zh-CN"/>
        </w:rPr>
        <w:t>无法查询到该《</w:t>
      </w:r>
      <w:r>
        <w:rPr>
          <w:rFonts w:hint="default" w:ascii="Times New Roman" w:hAnsi="Times New Roman" w:eastAsia="仿宋_GB2312" w:cs="Times New Roman"/>
          <w:color w:val="auto"/>
          <w:sz w:val="32"/>
          <w:szCs w:val="32"/>
          <w:highlight w:val="none"/>
          <w:lang w:val="en-US" w:eastAsia="zh-CN"/>
        </w:rPr>
        <w:t>食品经营许可证</w:t>
      </w:r>
      <w:r>
        <w:rPr>
          <w:rFonts w:hint="default" w:ascii="Times New Roman" w:hAnsi="Times New Roman" w:eastAsia="仿宋_GB2312" w:cs="Times New Roman"/>
          <w:b w:val="0"/>
          <w:bCs w:val="0"/>
          <w:color w:val="auto"/>
          <w:sz w:val="32"/>
          <w:szCs w:val="32"/>
          <w:highlight w:val="none"/>
          <w:u w:val="none" w:color="auto"/>
          <w:lang w:val="en-US" w:eastAsia="zh-CN"/>
        </w:rPr>
        <w:t>》的信息，也无法查询到与</w:t>
      </w:r>
      <w:r>
        <w:rPr>
          <w:rFonts w:hint="default" w:ascii="Times New Roman" w:hAnsi="Times New Roman" w:eastAsia="仿宋_GB2312" w:cs="Times New Roman"/>
          <w:color w:val="auto"/>
          <w:sz w:val="32"/>
          <w:szCs w:val="32"/>
          <w:highlight w:val="none"/>
          <w:u w:val="none" w:color="auto"/>
          <w:lang w:val="en-US" w:eastAsia="zh-CN"/>
        </w:rPr>
        <w:t>当事人相关的《</w:t>
      </w:r>
      <w:r>
        <w:rPr>
          <w:rFonts w:hint="default" w:ascii="Times New Roman" w:hAnsi="Times New Roman" w:eastAsia="仿宋_GB2312" w:cs="Times New Roman"/>
          <w:color w:val="auto"/>
          <w:sz w:val="32"/>
          <w:szCs w:val="32"/>
          <w:highlight w:val="none"/>
          <w:lang w:val="en-US" w:eastAsia="zh-CN"/>
        </w:rPr>
        <w:t>食品经营许可证</w:t>
      </w:r>
      <w:r>
        <w:rPr>
          <w:rFonts w:hint="default" w:ascii="Times New Roman" w:hAnsi="Times New Roman" w:eastAsia="仿宋_GB2312" w:cs="Times New Roman"/>
          <w:color w:val="auto"/>
          <w:sz w:val="32"/>
          <w:szCs w:val="32"/>
          <w:highlight w:val="none"/>
          <w:u w:val="none" w:color="auto"/>
          <w:lang w:val="en-US" w:eastAsia="zh-CN"/>
        </w:rPr>
        <w:t>》</w:t>
      </w:r>
      <w:r>
        <w:rPr>
          <w:rFonts w:hint="default" w:ascii="Times New Roman" w:hAnsi="Times New Roman" w:eastAsia="仿宋_GB2312" w:cs="Times New Roman"/>
          <w:color w:val="auto"/>
          <w:sz w:val="32"/>
          <w:szCs w:val="32"/>
          <w:lang w:val="en-US" w:eastAsia="zh-CN"/>
        </w:rPr>
        <w:t>。因当事人美团店铺账号已注销，无法提供营业金额，且我局经向美团平台（</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三快科技有限公司）所在地的北京市海淀区市场监督管理局协查当事人在美团平台的经营情况，也未能查询到有效信息，故当事人的违法所得无法计算。</w:t>
      </w:r>
    </w:p>
    <w:p w14:paraId="572D95D5">
      <w:pPr>
        <w:pStyle w:val="2"/>
        <w:keepNext w:val="0"/>
        <w:keepLines w:val="0"/>
        <w:pageBreakBefore w:val="0"/>
        <w:widowControl w:val="0"/>
        <w:kinsoku/>
        <w:wordWrap/>
        <w:overflowPunct/>
        <w:topLinePunct w:val="0"/>
        <w:bidi w:val="0"/>
        <w:snapToGrid/>
        <w:spacing w:line="560" w:lineRule="exact"/>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color w:val="auto"/>
          <w:sz w:val="32"/>
          <w:szCs w:val="32"/>
          <w:highlight w:val="none"/>
          <w:u w:val="none"/>
          <w:lang w:val="en-US" w:eastAsia="zh-CN"/>
        </w:rPr>
        <w:t xml:space="preserve">    </w:t>
      </w:r>
      <w:r>
        <w:rPr>
          <w:rFonts w:hint="default" w:ascii="Times New Roman" w:hAnsi="Times New Roman" w:eastAsia="仿宋_GB2312" w:cs="Times New Roman"/>
          <w:b w:val="0"/>
          <w:bCs w:val="0"/>
          <w:color w:val="auto"/>
          <w:sz w:val="32"/>
          <w:szCs w:val="32"/>
          <w:highlight w:val="none"/>
          <w:u w:val="none"/>
        </w:rPr>
        <w:t>上述事实，主要有以下证据证明：</w:t>
      </w:r>
    </w:p>
    <w:p w14:paraId="74EEBEF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1、当事人《营业执照》复印件和经营者身份证复印件各1份，</w:t>
      </w:r>
      <w:r>
        <w:rPr>
          <w:rFonts w:hint="default" w:ascii="Times New Roman" w:hAnsi="Times New Roman" w:eastAsia="仿宋_GB2312" w:cs="Times New Roman"/>
          <w:b w:val="0"/>
          <w:bCs w:val="0"/>
          <w:color w:val="auto"/>
          <w:sz w:val="32"/>
          <w:szCs w:val="32"/>
          <w:highlight w:val="none"/>
          <w:u w:val="none" w:color="auto"/>
          <w:lang w:val="en-US" w:eastAsia="zh-CN"/>
        </w:rPr>
        <w:t>证明当事人经营主体资格和经营者的身份信息。</w:t>
      </w:r>
    </w:p>
    <w:p w14:paraId="12C69E65">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rPr>
        <w:t>2、《询问笔录》1份、“</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大闸蟹皮皮虾奥龙罗氏虾（烤鱼.生蚝海鲜粥.卤龙虾）”网络餐饮店平台信息截图制作的《证据提取单》5份，证明当事人在美团平台“</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大闸蟹皮皮虾奥龙罗氏虾（烤鱼.生蚝海鲜粥.卤龙虾）”店铺上公示使用了《食品经营许可证》(字号名称：</w:t>
      </w:r>
      <w:r>
        <w:rPr>
          <w:rFonts w:hint="default" w:ascii="Times New Roman" w:hAnsi="Times New Roman" w:eastAsia="仿宋_GB2312" w:cs="Times New Roman"/>
          <w:color w:val="auto"/>
          <w:sz w:val="32"/>
          <w:szCs w:val="32"/>
          <w:highlight w:val="none"/>
          <w:lang w:eastAsia="zh-CN"/>
        </w:rPr>
        <w:t>柳州市柳北区柒零餐馆</w:t>
      </w:r>
      <w:r>
        <w:rPr>
          <w:rFonts w:hint="default" w:ascii="Times New Roman" w:hAnsi="Times New Roman" w:eastAsia="仿宋_GB2312" w:cs="Times New Roman"/>
          <w:color w:val="auto"/>
          <w:sz w:val="32"/>
          <w:szCs w:val="32"/>
          <w:highlight w:val="none"/>
          <w:lang w:val="en-US" w:eastAsia="zh-CN"/>
        </w:rPr>
        <w:t>，许可证编号为JY24502050038942，有效期至2030年12月04日</w:t>
      </w:r>
      <w:r>
        <w:rPr>
          <w:rFonts w:hint="default" w:ascii="Times New Roman" w:hAnsi="Times New Roman" w:eastAsia="仿宋_GB2312" w:cs="Times New Roman"/>
          <w:color w:val="auto"/>
          <w:sz w:val="32"/>
          <w:szCs w:val="32"/>
          <w:highlight w:val="none"/>
          <w:lang w:val="zh-CN" w:eastAsia="zh-CN"/>
        </w:rPr>
        <w:t>）经营</w:t>
      </w:r>
      <w:r>
        <w:rPr>
          <w:rFonts w:hint="default" w:ascii="Times New Roman" w:hAnsi="Times New Roman" w:eastAsia="仿宋_GB2312" w:cs="Times New Roman"/>
          <w:color w:val="auto"/>
          <w:sz w:val="32"/>
          <w:szCs w:val="32"/>
          <w:lang w:val="en-US" w:eastAsia="zh-CN"/>
        </w:rPr>
        <w:t>的事实。</w:t>
      </w:r>
    </w:p>
    <w:p w14:paraId="261B2F48">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3、现场检查笔录1份、企业实地核查表1份、《协助调查函》（柳北市监协查</w:t>
      </w:r>
      <w:r>
        <w:rPr>
          <w:rFonts w:hint="default" w:ascii="Times New Roman" w:hAnsi="Times New Roman" w:eastAsia="仿宋_GB2312" w:cs="Times New Roman"/>
          <w:color w:val="auto"/>
          <w:sz w:val="32"/>
          <w:highlight w:val="none"/>
          <w:u w:val="none"/>
          <w:lang w:val="en-US" w:eastAsia="zh-CN"/>
        </w:rPr>
        <w:t>〔2026〕</w:t>
      </w:r>
      <w:r>
        <w:rPr>
          <w:rFonts w:hint="default" w:ascii="Times New Roman" w:hAnsi="Times New Roman" w:eastAsia="仿宋_GB2312" w:cs="Times New Roman"/>
          <w:color w:val="auto"/>
          <w:sz w:val="32"/>
          <w:szCs w:val="32"/>
          <w:highlight w:val="none"/>
          <w:lang w:val="en-US" w:eastAsia="zh-CN"/>
        </w:rPr>
        <w:t>42号）和《协助调查函的复函》复印件1份,</w:t>
      </w:r>
      <w:r>
        <w:rPr>
          <w:rFonts w:hint="default" w:ascii="Times New Roman" w:hAnsi="Times New Roman" w:eastAsia="仿宋_GB2312" w:cs="Times New Roman"/>
          <w:color w:val="auto"/>
          <w:sz w:val="32"/>
          <w:szCs w:val="32"/>
          <w:highlight w:val="none"/>
        </w:rPr>
        <w:t>证明</w:t>
      </w:r>
      <w:r>
        <w:rPr>
          <w:rFonts w:hint="default" w:ascii="Times New Roman" w:hAnsi="Times New Roman" w:eastAsia="仿宋_GB2312" w:cs="Times New Roman"/>
          <w:color w:val="auto"/>
          <w:sz w:val="32"/>
          <w:szCs w:val="32"/>
          <w:highlight w:val="none"/>
          <w:lang w:val="en-US" w:eastAsia="zh-CN"/>
        </w:rPr>
        <w:t>当事人的目前的经营情况和无法查实违法所得金额。</w:t>
      </w:r>
    </w:p>
    <w:p w14:paraId="4C43DF80">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u w:val="none" w:color="auto"/>
          <w:lang w:val="en-US" w:eastAsia="zh-CN"/>
        </w:rPr>
        <w:t>广西市场监管准入一体化平台</w:t>
      </w:r>
      <w:r>
        <w:rPr>
          <w:rFonts w:hint="default" w:ascii="Times New Roman" w:hAnsi="Times New Roman" w:eastAsia="仿宋_GB2312" w:cs="Times New Roman"/>
          <w:color w:val="auto"/>
          <w:sz w:val="32"/>
          <w:szCs w:val="32"/>
          <w:highlight w:val="none"/>
          <w:lang w:val="en-US" w:eastAsia="zh-CN"/>
        </w:rPr>
        <w:t>截图2页，证明执法人员通过</w:t>
      </w:r>
      <w:r>
        <w:rPr>
          <w:rFonts w:hint="default" w:ascii="Times New Roman" w:hAnsi="Times New Roman" w:eastAsia="仿宋_GB2312" w:cs="Times New Roman"/>
          <w:color w:val="auto"/>
          <w:sz w:val="32"/>
          <w:szCs w:val="32"/>
          <w:highlight w:val="none"/>
          <w:u w:val="none" w:color="auto"/>
          <w:lang w:val="en-US" w:eastAsia="zh-CN"/>
        </w:rPr>
        <w:t>广西市场监管准入一体化平台</w:t>
      </w:r>
      <w:r>
        <w:rPr>
          <w:rFonts w:hint="default" w:ascii="Times New Roman" w:hAnsi="Times New Roman" w:eastAsia="仿宋_GB2312" w:cs="Times New Roman"/>
          <w:b w:val="0"/>
          <w:bCs w:val="0"/>
          <w:color w:val="auto"/>
          <w:sz w:val="32"/>
          <w:szCs w:val="32"/>
          <w:highlight w:val="none"/>
          <w:u w:val="none" w:color="auto"/>
          <w:lang w:val="en-US" w:eastAsia="zh-CN"/>
        </w:rPr>
        <w:t>无法查询到该《</w:t>
      </w:r>
      <w:r>
        <w:rPr>
          <w:rFonts w:hint="default" w:ascii="Times New Roman" w:hAnsi="Times New Roman" w:eastAsia="仿宋_GB2312" w:cs="Times New Roman"/>
          <w:color w:val="auto"/>
          <w:sz w:val="32"/>
          <w:szCs w:val="32"/>
          <w:highlight w:val="none"/>
          <w:lang w:val="en-US" w:eastAsia="zh-CN"/>
        </w:rPr>
        <w:t>食品经营许可证</w:t>
      </w:r>
      <w:r>
        <w:rPr>
          <w:rFonts w:hint="default" w:ascii="Times New Roman" w:hAnsi="Times New Roman" w:eastAsia="仿宋_GB2312" w:cs="Times New Roman"/>
          <w:b w:val="0"/>
          <w:bCs w:val="0"/>
          <w:color w:val="auto"/>
          <w:sz w:val="32"/>
          <w:szCs w:val="32"/>
          <w:highlight w:val="none"/>
          <w:u w:val="none" w:color="auto"/>
          <w:lang w:val="en-US" w:eastAsia="zh-CN"/>
        </w:rPr>
        <w:t>》的信息，也无法查询到与</w:t>
      </w:r>
      <w:r>
        <w:rPr>
          <w:rFonts w:hint="default" w:ascii="Times New Roman" w:hAnsi="Times New Roman" w:eastAsia="仿宋_GB2312" w:cs="Times New Roman"/>
          <w:color w:val="auto"/>
          <w:sz w:val="32"/>
          <w:szCs w:val="32"/>
          <w:highlight w:val="none"/>
          <w:u w:val="none" w:color="auto"/>
          <w:lang w:val="en-US" w:eastAsia="zh-CN"/>
        </w:rPr>
        <w:t>当事人相关的《</w:t>
      </w:r>
      <w:r>
        <w:rPr>
          <w:rFonts w:hint="default" w:ascii="Times New Roman" w:hAnsi="Times New Roman" w:eastAsia="仿宋_GB2312" w:cs="Times New Roman"/>
          <w:color w:val="auto"/>
          <w:sz w:val="32"/>
          <w:szCs w:val="32"/>
          <w:highlight w:val="none"/>
          <w:lang w:val="en-US" w:eastAsia="zh-CN"/>
        </w:rPr>
        <w:t>食品经营许可证</w:t>
      </w:r>
      <w:r>
        <w:rPr>
          <w:rFonts w:hint="default" w:ascii="Times New Roman" w:hAnsi="Times New Roman" w:eastAsia="仿宋_GB2312" w:cs="Times New Roman"/>
          <w:color w:val="auto"/>
          <w:sz w:val="32"/>
          <w:szCs w:val="32"/>
          <w:highlight w:val="none"/>
          <w:u w:val="none" w:color="auto"/>
          <w:lang w:val="en-US" w:eastAsia="zh-CN"/>
        </w:rPr>
        <w:t>》信息的事实</w:t>
      </w:r>
      <w:r>
        <w:rPr>
          <w:rFonts w:hint="default" w:ascii="Times New Roman" w:hAnsi="Times New Roman" w:eastAsia="仿宋_GB2312" w:cs="Times New Roman"/>
          <w:color w:val="auto"/>
          <w:sz w:val="32"/>
          <w:szCs w:val="32"/>
          <w:highlight w:val="none"/>
          <w:lang w:val="en-US" w:eastAsia="zh-CN"/>
        </w:rPr>
        <w:t>。</w:t>
      </w:r>
    </w:p>
    <w:p w14:paraId="789B564F">
      <w:pPr>
        <w:keepNext/>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以上证据均由当事人及相关证明人签名认可。</w:t>
      </w:r>
    </w:p>
    <w:p w14:paraId="262D2313">
      <w:pPr>
        <w:keepNext w:val="0"/>
        <w:keepLines w:val="0"/>
        <w:pageBreakBefore w:val="0"/>
        <w:widowControl w:val="0"/>
        <w:kinsoku/>
        <w:wordWrap/>
        <w:overflowPunct/>
        <w:topLinePunct w:val="0"/>
        <w:bidi w:val="0"/>
        <w:snapToGrid/>
        <w:spacing w:line="560" w:lineRule="exact"/>
        <w:ind w:left="-238" w:right="232" w:firstLine="640" w:firstLineChars="200"/>
        <w:jc w:val="left"/>
        <w:rPr>
          <w:rFonts w:hint="default" w:ascii="Times New Roman" w:hAnsi="Times New Roman" w:eastAsia="仿宋_GB2312" w:cs="Times New Roman"/>
          <w:color w:val="auto"/>
          <w:sz w:val="32"/>
          <w:highlight w:val="none"/>
          <w:u w:val="none"/>
          <w:lang w:val="en-US" w:eastAsia="zh-CN"/>
        </w:rPr>
      </w:pPr>
      <w:r>
        <w:rPr>
          <w:rFonts w:hint="default" w:ascii="Times New Roman" w:hAnsi="Times New Roman" w:eastAsia="仿宋_GB2312" w:cs="Times New Roman"/>
          <w:color w:val="auto"/>
          <w:sz w:val="32"/>
          <w:highlight w:val="none"/>
          <w:u w:val="none"/>
          <w:lang w:val="en-US" w:eastAsia="zh-CN"/>
        </w:rPr>
        <w:t>我局于2026年8月31日向当事人送达了《行政处罚告知书》（柳北市监罚告〔2026〕87号），告知当事人我局拟作出行政处罚的事实、理由、依据、处罚内容及享有的权利。当事人在法定期限内未提出陈述、申辩。</w:t>
      </w:r>
    </w:p>
    <w:p w14:paraId="6C73884A">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eastAsia="zh-CN"/>
        </w:rPr>
        <w:t>当事人公示使用上述《食品经营许可证》从事网络餐饮服务活动的行为，违反了《网络食品安全违法行为查处办法》第四条第二款“</w:t>
      </w:r>
      <w:r>
        <w:rPr>
          <w:rFonts w:hint="default" w:ascii="Times New Roman" w:hAnsi="Times New Roman" w:eastAsia="仿宋_GB2312" w:cs="Times New Roman"/>
          <w:color w:val="auto"/>
          <w:sz w:val="32"/>
          <w:szCs w:val="32"/>
          <w:highlight w:val="none"/>
        </w:rPr>
        <w:t>网络食品交易第三方平台提供者和入网食品生产经营者应当对网络食品安全信息的真实性负责。</w:t>
      </w:r>
      <w:r>
        <w:rPr>
          <w:rFonts w:hint="default" w:ascii="Times New Roman" w:hAnsi="Times New Roman" w:eastAsia="仿宋_GB2312" w:cs="Times New Roman"/>
          <w:color w:val="auto"/>
          <w:sz w:val="32"/>
          <w:szCs w:val="32"/>
          <w:highlight w:val="none"/>
          <w:lang w:val="zh-CN" w:eastAsia="zh-CN"/>
        </w:rPr>
        <w:t>”的规定，属于</w:t>
      </w:r>
      <w:r>
        <w:rPr>
          <w:rFonts w:hint="default" w:ascii="Times New Roman" w:hAnsi="Times New Roman" w:eastAsia="仿宋_GB2312" w:cs="Times New Roman"/>
          <w:color w:val="auto"/>
          <w:sz w:val="32"/>
          <w:szCs w:val="32"/>
          <w:highlight w:val="none"/>
        </w:rPr>
        <w:t>提供虚假信息</w:t>
      </w:r>
      <w:r>
        <w:rPr>
          <w:rFonts w:hint="default" w:ascii="Times New Roman" w:hAnsi="Times New Roman" w:eastAsia="仿宋_GB2312" w:cs="Times New Roman"/>
          <w:color w:val="auto"/>
          <w:sz w:val="32"/>
          <w:szCs w:val="32"/>
          <w:highlight w:val="none"/>
          <w:lang w:val="zh-CN" w:eastAsia="zh-CN"/>
        </w:rPr>
        <w:t>从事餐饮服务的行为，</w:t>
      </w:r>
      <w:r>
        <w:rPr>
          <w:rFonts w:hint="default" w:ascii="Times New Roman" w:hAnsi="Times New Roman" w:eastAsia="仿宋_GB2312" w:cs="Times New Roman"/>
          <w:color w:val="auto"/>
          <w:sz w:val="32"/>
          <w:szCs w:val="32"/>
          <w:highlight w:val="none"/>
          <w:lang w:val="en-US" w:eastAsia="zh-CN"/>
        </w:rPr>
        <w:t>违法所得无法计算。</w:t>
      </w:r>
    </w:p>
    <w:p w14:paraId="6F88C099">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当事人未取得食品经营许可证从事网络餐饮服务活动的行为，违反了《中华人民共和国食品安全法》第三十五条第一款“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的规定，属于未取得许可从事食品经营活动的行为</w:t>
      </w:r>
      <w:r>
        <w:rPr>
          <w:rFonts w:hint="default" w:ascii="Times New Roman" w:hAnsi="Times New Roman" w:eastAsia="仿宋_GB2312" w:cs="Times New Roman"/>
          <w:color w:val="auto"/>
          <w:sz w:val="32"/>
          <w:szCs w:val="32"/>
          <w:highlight w:val="none"/>
          <w:lang w:val="zh-CN" w:eastAsia="zh-CN"/>
        </w:rPr>
        <w:t>，</w:t>
      </w:r>
      <w:r>
        <w:rPr>
          <w:rFonts w:hint="default" w:ascii="Times New Roman" w:hAnsi="Times New Roman" w:eastAsia="仿宋_GB2312" w:cs="Times New Roman"/>
          <w:color w:val="auto"/>
          <w:sz w:val="32"/>
          <w:szCs w:val="32"/>
          <w:highlight w:val="none"/>
          <w:lang w:val="en-US" w:eastAsia="zh-CN"/>
        </w:rPr>
        <w:t>违法所得无法计算。</w:t>
      </w:r>
    </w:p>
    <w:p w14:paraId="57AE4F6E">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bCs/>
          <w:strike w:val="0"/>
          <w:dstrike w:val="0"/>
          <w:color w:val="auto"/>
          <w:sz w:val="32"/>
          <w:szCs w:val="32"/>
          <w:lang w:val="en-US" w:eastAsia="zh-CN"/>
        </w:rPr>
      </w:pPr>
      <w:r>
        <w:rPr>
          <w:rFonts w:hint="default" w:ascii="Times New Roman" w:hAnsi="Times New Roman" w:eastAsia="仿宋_GB2312" w:cs="Times New Roman"/>
          <w:bCs/>
          <w:strike w:val="0"/>
          <w:dstrike w:val="0"/>
          <w:color w:val="auto"/>
          <w:sz w:val="32"/>
          <w:szCs w:val="32"/>
          <w:lang w:val="en-US" w:eastAsia="zh-CN"/>
        </w:rPr>
        <w:t>当事人</w:t>
      </w:r>
      <w:r>
        <w:rPr>
          <w:rFonts w:hint="default" w:ascii="Times New Roman" w:hAnsi="Times New Roman" w:eastAsia="仿宋_GB2312" w:cs="Times New Roman"/>
          <w:bCs/>
          <w:color w:val="auto"/>
          <w:sz w:val="32"/>
          <w:szCs w:val="32"/>
          <w:lang w:eastAsia="zh-CN"/>
        </w:rPr>
        <w:t>在案件调查过程中</w:t>
      </w:r>
      <w:r>
        <w:rPr>
          <w:rFonts w:hint="default" w:ascii="Times New Roman" w:hAnsi="Times New Roman" w:eastAsia="仿宋_GB2312" w:cs="Times New Roman"/>
          <w:bCs/>
          <w:strike w:val="0"/>
          <w:dstrike w:val="0"/>
          <w:color w:val="auto"/>
          <w:sz w:val="32"/>
          <w:szCs w:val="32"/>
          <w:lang w:val="en-US" w:eastAsia="zh-CN"/>
        </w:rPr>
        <w:t>积极配合，主动提供营业执照等证据材料，</w:t>
      </w:r>
      <w:r>
        <w:rPr>
          <w:rFonts w:hint="default" w:ascii="Times New Roman" w:hAnsi="Times New Roman" w:eastAsia="仿宋_GB2312" w:cs="Times New Roman"/>
          <w:color w:val="auto"/>
          <w:sz w:val="32"/>
          <w:szCs w:val="32"/>
          <w:lang w:val="en-US" w:eastAsia="zh-CN"/>
        </w:rPr>
        <w:t>如实陈述违法事实，</w:t>
      </w:r>
      <w:r>
        <w:rPr>
          <w:rFonts w:hint="default" w:ascii="Times New Roman" w:hAnsi="Times New Roman" w:eastAsia="仿宋_GB2312" w:cs="Times New Roman"/>
          <w:bCs/>
          <w:strike w:val="0"/>
          <w:dstrike w:val="0"/>
          <w:color w:val="auto"/>
          <w:sz w:val="32"/>
          <w:szCs w:val="32"/>
          <w:lang w:val="en-US" w:eastAsia="zh-CN"/>
        </w:rPr>
        <w:t>积极进行整改，调查过程中注销网络餐饮店，停止经营活动，主动减轻违法行为的危害后果</w:t>
      </w:r>
      <w:r>
        <w:rPr>
          <w:rFonts w:hint="default"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bCs/>
          <w:color w:val="auto"/>
          <w:sz w:val="32"/>
          <w:szCs w:val="32"/>
          <w:highlight w:val="none"/>
          <w:u w:val="none" w:color="auto"/>
          <w:lang w:val="en-US" w:eastAsia="zh-CN"/>
        </w:rPr>
        <w:t>具有市场监管总局《关于规范市场监督管理行政处罚裁量权的指导意见》第十三条第一款第二项“有下列情形之一的，应当依法从轻或者减轻行政处罚：（二）主动消除或者减轻违法行为危害后果的”、第十四条</w:t>
      </w:r>
      <w:r>
        <w:rPr>
          <w:rFonts w:hint="default" w:ascii="Times New Roman" w:hAnsi="Times New Roman" w:eastAsia="仿宋_GB2312" w:cs="Times New Roman"/>
          <w:color w:val="auto"/>
          <w:sz w:val="32"/>
          <w:szCs w:val="32"/>
          <w:highlight w:val="none"/>
          <w:u w:val="none" w:color="auto"/>
          <w:lang w:val="en-US" w:eastAsia="zh-CN"/>
        </w:rPr>
        <w:t>第一款</w:t>
      </w:r>
      <w:r>
        <w:rPr>
          <w:rFonts w:hint="default" w:ascii="Times New Roman" w:hAnsi="Times New Roman" w:eastAsia="仿宋_GB2312" w:cs="Times New Roman"/>
          <w:bCs/>
          <w:color w:val="auto"/>
          <w:sz w:val="32"/>
          <w:szCs w:val="32"/>
          <w:highlight w:val="none"/>
          <w:u w:val="none" w:color="auto"/>
          <w:lang w:val="en-US" w:eastAsia="zh-CN"/>
        </w:rPr>
        <w:t>第二项“有下列情形之一的，可以依法从轻或者减轻行政处罚：（二）积极配合市场监管部门调查并主动提供证据材料的；”、</w:t>
      </w:r>
      <w:r>
        <w:rPr>
          <w:rFonts w:hint="default" w:ascii="Times New Roman" w:hAnsi="Times New Roman" w:eastAsia="仿宋_GB2312" w:cs="Times New Roman"/>
          <w:bCs/>
          <w:strike w:val="0"/>
          <w:dstrike w:val="0"/>
          <w:color w:val="auto"/>
          <w:sz w:val="32"/>
          <w:szCs w:val="32"/>
          <w:lang w:val="en-US" w:eastAsia="zh-CN"/>
        </w:rPr>
        <w:t>《广西壮族自治区市场监督管理行政处罚裁量权适用规定》第十一条第一款第二项“有下列情形之一的，应当依法从轻或者减轻行政处罚：（二）主动消除或者减轻违法行为危害后果的”、第十二条第一款第二项“有下列情形之一的，可以依法从轻或者减轻行政处罚：（二）积极配合市场监管部门调查并主动提供证据材料的；”</w:t>
      </w:r>
      <w:r>
        <w:rPr>
          <w:rFonts w:hint="default" w:ascii="Times New Roman" w:hAnsi="Times New Roman" w:eastAsia="仿宋_GB2312" w:cs="Times New Roman"/>
          <w:bCs/>
          <w:color w:val="auto"/>
          <w:sz w:val="32"/>
          <w:szCs w:val="32"/>
          <w:highlight w:val="none"/>
          <w:u w:val="none" w:color="auto"/>
          <w:lang w:val="en-US" w:eastAsia="zh-CN"/>
        </w:rPr>
        <w:t>规定的依法从轻或者减轻行政处罚的情形。</w:t>
      </w:r>
      <w:r>
        <w:rPr>
          <w:rFonts w:hint="default" w:ascii="Times New Roman" w:hAnsi="Times New Roman" w:eastAsia="仿宋_GB2312" w:cs="Times New Roman"/>
          <w:bCs/>
          <w:strike w:val="0"/>
          <w:dstrike w:val="0"/>
          <w:color w:val="auto"/>
          <w:sz w:val="32"/>
          <w:szCs w:val="32"/>
          <w:lang w:val="en-US" w:eastAsia="zh-CN"/>
        </w:rPr>
        <w:t>依据《中华人民共和国行政处罚法》第五条</w:t>
      </w:r>
      <w:r>
        <w:rPr>
          <w:rFonts w:hint="default" w:ascii="Times New Roman" w:hAnsi="Times New Roman" w:eastAsia="仿宋_GB2312" w:cs="Times New Roman"/>
          <w:color w:val="auto"/>
          <w:sz w:val="32"/>
          <w:szCs w:val="32"/>
          <w:lang w:val="zh-CN" w:eastAsia="zh-CN"/>
        </w:rPr>
        <w:t>第二款“设定和实施行政处罚必须以事实为依据，与违法行为的事实、性质、情节以及社会危害程度相当。”、第六条“实施行政处罚，纠正违法行为，应当坚持处罚与教育相结合，教育公民、法人或者其他组织自觉守法。”、</w:t>
      </w:r>
      <w:r>
        <w:rPr>
          <w:rFonts w:hint="default" w:ascii="Times New Roman" w:hAnsi="Times New Roman" w:eastAsia="仿宋_GB2312" w:cs="Times New Roman"/>
          <w:bCs/>
          <w:strike w:val="0"/>
          <w:dstrike w:val="0"/>
          <w:color w:val="auto"/>
          <w:sz w:val="32"/>
          <w:szCs w:val="32"/>
          <w:lang w:val="en-US" w:eastAsia="zh-CN"/>
        </w:rPr>
        <w:t>第三十二条第一款第一项“当事人有下列情形之一，应当从轻或者减轻行政处罚：（一）主动消除或者减轻违法行为危害后果的；”的规定，我局决定对当事人减轻行政处罚。</w:t>
      </w:r>
    </w:p>
    <w:p w14:paraId="51FFFF58">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eastAsia="zh-CN"/>
        </w:rPr>
        <w:t>对于当事人</w:t>
      </w:r>
      <w:r>
        <w:rPr>
          <w:rFonts w:hint="default" w:ascii="Times New Roman" w:hAnsi="Times New Roman" w:eastAsia="仿宋_GB2312" w:cs="Times New Roman"/>
          <w:color w:val="auto"/>
          <w:sz w:val="32"/>
          <w:szCs w:val="32"/>
          <w:highlight w:val="none"/>
        </w:rPr>
        <w:t>提供虚假信息</w:t>
      </w:r>
      <w:r>
        <w:rPr>
          <w:rFonts w:hint="default" w:ascii="Times New Roman" w:hAnsi="Times New Roman" w:eastAsia="仿宋_GB2312" w:cs="Times New Roman"/>
          <w:color w:val="auto"/>
          <w:sz w:val="32"/>
          <w:szCs w:val="32"/>
          <w:highlight w:val="none"/>
          <w:lang w:val="zh-CN" w:eastAsia="zh-CN"/>
        </w:rPr>
        <w:t>从事餐饮服务的行为，依据《网络食品安全违法行为查处办法》第四十三条“</w:t>
      </w:r>
      <w:r>
        <w:rPr>
          <w:rFonts w:hint="default" w:ascii="Times New Roman" w:hAnsi="Times New Roman" w:eastAsia="仿宋_GB2312" w:cs="Times New Roman"/>
          <w:color w:val="auto"/>
          <w:sz w:val="32"/>
          <w:szCs w:val="32"/>
          <w:highlight w:val="none"/>
        </w:rPr>
        <w:t>违反本办法规定，网络食品交易第三方平台提供者、入网食品生产经营者提供虚假信息的，由县级以上地方市场监督管理部门责令改正，处1万元以上3万元以下罚款。</w:t>
      </w:r>
      <w:r>
        <w:rPr>
          <w:rFonts w:hint="default" w:ascii="Times New Roman" w:hAnsi="Times New Roman" w:eastAsia="仿宋_GB2312" w:cs="Times New Roman"/>
          <w:color w:val="auto"/>
          <w:sz w:val="32"/>
          <w:szCs w:val="32"/>
          <w:highlight w:val="none"/>
          <w:lang w:val="zh-CN" w:eastAsia="zh-CN"/>
        </w:rPr>
        <w:t>”的规定，</w:t>
      </w:r>
      <w:r>
        <w:rPr>
          <w:rFonts w:hint="default" w:ascii="Times New Roman" w:hAnsi="Times New Roman" w:eastAsia="仿宋_GB2312" w:cs="Times New Roman"/>
          <w:bCs/>
          <w:strike w:val="0"/>
          <w:dstrike w:val="0"/>
          <w:color w:val="auto"/>
          <w:sz w:val="32"/>
          <w:szCs w:val="32"/>
          <w:lang w:val="en-US" w:eastAsia="zh-CN"/>
        </w:rPr>
        <w:t>我局决定</w:t>
      </w:r>
      <w:r>
        <w:rPr>
          <w:rFonts w:hint="default" w:ascii="Times New Roman" w:hAnsi="Times New Roman" w:eastAsia="仿宋_GB2312" w:cs="Times New Roman"/>
          <w:color w:val="auto"/>
          <w:sz w:val="32"/>
          <w:szCs w:val="32"/>
          <w:highlight w:val="none"/>
          <w:lang w:val="en-US" w:eastAsia="zh-CN"/>
        </w:rPr>
        <w:t>责令当事人立即改正该违法行为，并给予罚款2000元的行政处罚。</w:t>
      </w:r>
    </w:p>
    <w:p w14:paraId="2CBAE932">
      <w:pPr>
        <w:keepNext w:val="0"/>
        <w:keepLines w:val="0"/>
        <w:pageBreakBefore w:val="0"/>
        <w:widowControl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对于当事人未经许可从事食品经营活动的行为，依据《中华人民共和国食品安全法》第一百二十二条第一款“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中华人民共和国行政处罚法》第二十八条第一款“行政机关实施行政处罚时，应当责令当事人改正或者限期改正违法行为。”的规定，</w:t>
      </w:r>
      <w:r>
        <w:rPr>
          <w:rFonts w:hint="default" w:ascii="Times New Roman" w:hAnsi="Times New Roman" w:eastAsia="仿宋_GB2312" w:cs="Times New Roman"/>
          <w:bCs/>
          <w:strike w:val="0"/>
          <w:dstrike w:val="0"/>
          <w:color w:val="auto"/>
          <w:sz w:val="32"/>
          <w:szCs w:val="32"/>
          <w:lang w:val="en-US" w:eastAsia="zh-CN"/>
        </w:rPr>
        <w:t>我局决定</w:t>
      </w:r>
      <w:r>
        <w:rPr>
          <w:rFonts w:hint="default" w:ascii="Times New Roman" w:hAnsi="Times New Roman" w:eastAsia="仿宋_GB2312" w:cs="Times New Roman"/>
          <w:color w:val="auto"/>
          <w:sz w:val="32"/>
          <w:szCs w:val="32"/>
          <w:highlight w:val="none"/>
          <w:lang w:val="en-US" w:eastAsia="zh-CN"/>
        </w:rPr>
        <w:t>责令当事人立即改正该违法行为，并给予罚款2000元的行政处罚。</w:t>
      </w:r>
    </w:p>
    <w:p w14:paraId="7E02D36F">
      <w:pPr>
        <w:keepNext/>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综上，</w:t>
      </w:r>
      <w:r>
        <w:rPr>
          <w:rFonts w:hint="default" w:ascii="Times New Roman" w:hAnsi="Times New Roman" w:eastAsia="仿宋_GB2312" w:cs="Times New Roman"/>
          <w:bCs/>
          <w:strike w:val="0"/>
          <w:dstrike w:val="0"/>
          <w:color w:val="auto"/>
          <w:sz w:val="32"/>
          <w:szCs w:val="32"/>
          <w:lang w:val="en-US" w:eastAsia="zh-CN"/>
        </w:rPr>
        <w:t>我局决定</w:t>
      </w:r>
      <w:r>
        <w:rPr>
          <w:rFonts w:hint="default" w:ascii="Times New Roman" w:hAnsi="Times New Roman" w:eastAsia="仿宋_GB2312" w:cs="Times New Roman"/>
          <w:color w:val="auto"/>
          <w:sz w:val="32"/>
          <w:szCs w:val="32"/>
          <w:highlight w:val="none"/>
          <w:lang w:val="en-US" w:eastAsia="zh-CN"/>
        </w:rPr>
        <w:t>责令当事人立即改正上述违法行为，并给予罚款4000元的行政处罚。</w:t>
      </w:r>
    </w:p>
    <w:p w14:paraId="0C1FB17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bookmarkStart w:id="3" w:name="DYNAMIC—DWXX—tAj_dwmc—2"/>
      <w:r>
        <w:rPr>
          <w:rFonts w:hint="default" w:ascii="Times New Roman" w:hAnsi="Times New Roman" w:eastAsia="仿宋_GB2312" w:cs="Times New Roman"/>
          <w:color w:val="auto"/>
          <w:sz w:val="32"/>
          <w:szCs w:val="32"/>
          <w:highlight w:val="none"/>
          <w:u w:val="none"/>
          <w:lang w:val="en-US" w:eastAsia="zh-CN"/>
        </w:rPr>
        <w:t>当事人应自接到本行政处罚决定书之日起十五日内，凭《广西壮族自治区非税收入电子缴款通知书》到中国建设银行或柳州银行缴纳上述款项（附言备注20位缴款通知书编号）。逾期不缴纳罚款的，根据《中华人民共和国行政处罚法》第七十二条的规定，我局将每日按罚款数额的百分之三加处罚款，并依法申请人民法院强制执行。</w:t>
      </w:r>
    </w:p>
    <w:p w14:paraId="623EAB0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如不服本行政处罚决定，可在接到本行政处罚决定书之日起60日内向柳州市柳北区人民政府申请行政复议；也可以在6个月内依法向柳州市柳南区人民法院提起行政诉讼。申请行政复议或者提起行政诉讼期间，行政处罚不停止执行。</w:t>
      </w:r>
    </w:p>
    <w:p w14:paraId="37500263">
      <w:pPr>
        <w:keepNext w:val="0"/>
        <w:keepLines w:val="0"/>
        <w:pageBreakBefore w:val="0"/>
        <w:widowControl w:val="0"/>
        <w:kinsoku/>
        <w:wordWrap/>
        <w:overflowPunct/>
        <w:topLinePunct w:val="0"/>
        <w:bidi w:val="0"/>
        <w:snapToGrid/>
        <w:spacing w:line="560" w:lineRule="exact"/>
        <w:ind w:right="640" w:firstLine="601"/>
        <w:jc w:val="right"/>
        <w:rPr>
          <w:rFonts w:hint="default" w:ascii="Times New Roman" w:hAnsi="Times New Roman" w:eastAsia="仿宋_GB2312" w:cs="Times New Roman"/>
          <w:color w:val="auto"/>
          <w:sz w:val="32"/>
          <w:highlight w:val="none"/>
          <w:u w:val="none"/>
          <w:lang w:eastAsia="zh-CN"/>
        </w:rPr>
      </w:pPr>
    </w:p>
    <w:p w14:paraId="438BCFD5">
      <w:pPr>
        <w:keepNext w:val="0"/>
        <w:keepLines w:val="0"/>
        <w:pageBreakBefore w:val="0"/>
        <w:widowControl w:val="0"/>
        <w:kinsoku/>
        <w:wordWrap/>
        <w:overflowPunct/>
        <w:topLinePunct w:val="0"/>
        <w:bidi w:val="0"/>
        <w:snapToGrid/>
        <w:spacing w:line="560" w:lineRule="exact"/>
        <w:ind w:right="640" w:firstLine="601"/>
        <w:jc w:val="right"/>
        <w:rPr>
          <w:rFonts w:hint="default" w:ascii="Times New Roman" w:hAnsi="Times New Roman" w:eastAsia="仿宋_GB2312" w:cs="Times New Roman"/>
          <w:color w:val="auto"/>
          <w:sz w:val="32"/>
          <w:highlight w:val="none"/>
          <w:u w:val="none"/>
          <w:lang w:eastAsia="zh-CN"/>
        </w:rPr>
      </w:pPr>
    </w:p>
    <w:p w14:paraId="7C849AD7">
      <w:pPr>
        <w:keepNext w:val="0"/>
        <w:keepLines w:val="0"/>
        <w:pageBreakBefore w:val="0"/>
        <w:widowControl w:val="0"/>
        <w:kinsoku/>
        <w:wordWrap/>
        <w:overflowPunct/>
        <w:topLinePunct w:val="0"/>
        <w:bidi w:val="0"/>
        <w:snapToGrid/>
        <w:spacing w:line="560" w:lineRule="exact"/>
        <w:ind w:right="640" w:firstLine="601"/>
        <w:jc w:val="righ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u w:val="none"/>
          <w:lang w:eastAsia="zh-CN"/>
        </w:rPr>
        <w:t>柳州市</w:t>
      </w:r>
      <w:r>
        <w:rPr>
          <w:rFonts w:hint="default" w:ascii="Times New Roman" w:hAnsi="Times New Roman" w:eastAsia="仿宋_GB2312" w:cs="Times New Roman"/>
          <w:color w:val="auto"/>
          <w:sz w:val="32"/>
          <w:highlight w:val="none"/>
          <w:u w:val="none"/>
        </w:rPr>
        <w:t>柳北区市场监督管理局</w:t>
      </w:r>
      <w:bookmarkEnd w:id="3"/>
      <w:r>
        <w:rPr>
          <w:rFonts w:hint="default" w:ascii="Times New Roman" w:hAnsi="Times New Roman" w:eastAsia="仿宋_GB2312" w:cs="Times New Roman"/>
          <w:color w:val="auto"/>
          <w:sz w:val="32"/>
          <w:szCs w:val="32"/>
          <w:highlight w:val="none"/>
          <w:u w:val="none"/>
        </w:rPr>
        <w:t xml:space="preserve">    </w:t>
      </w:r>
    </w:p>
    <w:p w14:paraId="70854120">
      <w:pPr>
        <w:keepNext w:val="0"/>
        <w:keepLines w:val="0"/>
        <w:pageBreakBefore w:val="0"/>
        <w:widowControl w:val="0"/>
        <w:kinsoku/>
        <w:wordWrap/>
        <w:overflowPunct/>
        <w:topLinePunct w:val="0"/>
        <w:autoSpaceDE/>
        <w:autoSpaceDN/>
        <w:bidi w:val="0"/>
        <w:adjustRightInd/>
        <w:snapToGrid/>
        <w:spacing w:line="560" w:lineRule="exact"/>
        <w:ind w:right="630" w:rightChars="300" w:firstLine="4800" w:firstLineChars="1500"/>
        <w:jc w:val="both"/>
        <w:textAlignment w:val="auto"/>
        <w:outlineLvl w:val="9"/>
        <w:rPr>
          <w:rFonts w:hint="default" w:ascii="Times New Roman" w:hAnsi="Times New Roman" w:eastAsia="仿宋_GB2312" w:cs="Times New Roman"/>
          <w:color w:val="auto"/>
          <w:sz w:val="32"/>
          <w:szCs w:val="32"/>
          <w:highlight w:val="none"/>
          <w:u w:val="none"/>
        </w:rPr>
      </w:pPr>
      <w:bookmarkStart w:id="4" w:name="CALCULATE—TIME—NOW"/>
      <w:r>
        <w:rPr>
          <w:rFonts w:hint="default" w:ascii="Times New Roman" w:hAnsi="Times New Roman" w:eastAsia="仿宋_GB2312" w:cs="Times New Roman"/>
          <w:color w:val="auto"/>
          <w:sz w:val="32"/>
        </w:rPr>
        <w:t>2026年</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rPr>
        <w:t>日</w:t>
      </w:r>
      <w:bookmarkEnd w:id="4"/>
      <w:r>
        <w:rPr>
          <w:rFonts w:hint="default" w:ascii="Times New Roman" w:hAnsi="Times New Roman" w:eastAsia="仿宋_GB2312" w:cs="Times New Roman"/>
          <w:color w:val="auto"/>
          <w:sz w:val="32"/>
          <w:szCs w:val="32"/>
          <w:highlight w:val="none"/>
          <w:u w:val="none"/>
        </w:rPr>
        <w:t xml:space="preserve">  </w:t>
      </w:r>
    </w:p>
    <w:p w14:paraId="0B3BC167">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06B2B2FC">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0E60C10F">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323B3FAB">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1006BF51">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003E19D6">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796C6285">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77762EE7">
      <w:pPr>
        <w:pStyle w:val="2"/>
        <w:keepLines w:val="0"/>
        <w:pageBreakBefore w:val="0"/>
        <w:kinsoku/>
        <w:wordWrap/>
        <w:overflowPunct/>
        <w:topLinePunct w:val="0"/>
        <w:bidi w:val="0"/>
        <w:spacing w:line="560" w:lineRule="exact"/>
        <w:rPr>
          <w:rFonts w:hint="default" w:ascii="Times New Roman" w:hAnsi="Times New Roman" w:eastAsia="仿宋_GB2312" w:cs="Times New Roman"/>
          <w:color w:val="auto"/>
          <w:sz w:val="32"/>
          <w:szCs w:val="32"/>
          <w:highlight w:val="none"/>
          <w:u w:val="none"/>
        </w:rPr>
      </w:pPr>
    </w:p>
    <w:p w14:paraId="6F98419A">
      <w:pPr>
        <w:pStyle w:val="5"/>
        <w:keepNext w:val="0"/>
        <w:keepLines w:val="0"/>
        <w:pageBreakBefore w:val="0"/>
        <w:widowControl w:val="0"/>
        <w:kinsoku/>
        <w:wordWrap/>
        <w:overflowPunct/>
        <w:topLinePunct w:val="0"/>
        <w:bidi w:val="0"/>
        <w:snapToGrid/>
        <w:spacing w:line="560" w:lineRule="exact"/>
        <w:ind w:left="0"/>
        <w:textAlignment w:val="auto"/>
        <w:rPr>
          <w:rFonts w:hint="default" w:ascii="Times New Roman" w:hAnsi="Times New Roman" w:eastAsia="仿宋_GB2312" w:cs="Times New Roman"/>
          <w:bCs/>
          <w:color w:val="auto"/>
          <w:sz w:val="44"/>
          <w:szCs w:val="44"/>
          <w:highlight w:val="none"/>
        </w:rPr>
      </w:pPr>
      <w:r>
        <w:rPr>
          <w:rFonts w:hint="default" w:ascii="Times New Roman" w:hAnsi="Times New Roman" w:eastAsia="仿宋_GB2312" w:cs="Times New Roman"/>
          <w:color w:val="auto"/>
          <w:spacing w:val="0"/>
          <w:sz w:val="32"/>
          <w:highlight w:val="none"/>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default" w:ascii="Times New Roman" w:hAnsi="Times New Roman" w:eastAsia="黑体" w:cs="Times New Roman"/>
          <w:color w:val="auto"/>
          <w:spacing w:val="0"/>
          <w:sz w:val="32"/>
          <w:highlight w:val="none"/>
          <w:u w:val="none"/>
        </w:rPr>
        <w:t>（市场监督管理部门将依法向社会公开行政处罚决定信息）</w:t>
      </w:r>
    </w:p>
    <w:p w14:paraId="5EE42D46">
      <w:pPr>
        <w:keepNext w:val="0"/>
        <w:keepLines w:val="0"/>
        <w:pageBreakBefore w:val="0"/>
        <w:widowControl w:val="0"/>
        <w:kinsoku/>
        <w:wordWrap/>
        <w:overflowPunct/>
        <w:topLinePunct w:val="0"/>
        <w:bidi w:val="0"/>
        <w:snapToGrid/>
        <w:spacing w:line="560" w:lineRule="exact"/>
        <w:ind w:left="0"/>
        <w:textAlignment w:val="auto"/>
        <w:rPr>
          <w:rFonts w:hint="default" w:ascii="Times New Roman" w:hAnsi="Times New Roman" w:cs="Times New Roman"/>
          <w:color w:val="auto"/>
        </w:rPr>
      </w:pPr>
      <w:r>
        <w:rPr>
          <w:rFonts w:hint="default" w:ascii="Times New Roman" w:hAnsi="Times New Roman" w:eastAsia="仿宋_GB2312" w:cs="Times New Roman"/>
          <w:bCs/>
          <w:color w:val="auto"/>
          <w:sz w:val="32"/>
          <w:szCs w:val="32"/>
          <w:highlight w:val="none"/>
          <w:u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bCs/>
          <w:color w:val="auto"/>
          <w:sz w:val="32"/>
          <w:szCs w:val="32"/>
          <w:highlight w:val="none"/>
          <w:u w:val="none"/>
          <w:lang w:val="en-US" w:eastAsia="zh-CN"/>
        </w:rPr>
        <w:t>本文书一式三份，一份送达，一份归档，一份办案单位留存</w:t>
      </w:r>
      <w:r>
        <w:rPr>
          <w:rFonts w:hint="default" w:ascii="Times New Roman" w:hAnsi="Times New Roman" w:eastAsia="仿宋_GB2312" w:cs="Times New Roman"/>
          <w:color w:val="auto"/>
          <w:sz w:val="32"/>
          <w:szCs w:val="32"/>
          <w:highlight w:val="none"/>
          <w:u w:val="none"/>
        </w:rPr>
        <w:t>。</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8EB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5241D">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15241D">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16749"/>
    <w:rsid w:val="02B83402"/>
    <w:rsid w:val="042774DD"/>
    <w:rsid w:val="048D2705"/>
    <w:rsid w:val="04CD463F"/>
    <w:rsid w:val="04FA4431"/>
    <w:rsid w:val="05AA17FE"/>
    <w:rsid w:val="05C51508"/>
    <w:rsid w:val="06476E0A"/>
    <w:rsid w:val="06BAE61F"/>
    <w:rsid w:val="071C7669"/>
    <w:rsid w:val="07580619"/>
    <w:rsid w:val="0776795A"/>
    <w:rsid w:val="07DA78EE"/>
    <w:rsid w:val="08365B64"/>
    <w:rsid w:val="087864F3"/>
    <w:rsid w:val="090B4D3A"/>
    <w:rsid w:val="09290BEC"/>
    <w:rsid w:val="09AA7B69"/>
    <w:rsid w:val="09F31262"/>
    <w:rsid w:val="0A2F38BD"/>
    <w:rsid w:val="0A3665F0"/>
    <w:rsid w:val="0ACA0AE6"/>
    <w:rsid w:val="0B22091D"/>
    <w:rsid w:val="0CF71776"/>
    <w:rsid w:val="0D242541"/>
    <w:rsid w:val="0E4308A4"/>
    <w:rsid w:val="0ED761DF"/>
    <w:rsid w:val="0FB748D6"/>
    <w:rsid w:val="103E22C5"/>
    <w:rsid w:val="11524677"/>
    <w:rsid w:val="115320F9"/>
    <w:rsid w:val="119E3BCA"/>
    <w:rsid w:val="1350279A"/>
    <w:rsid w:val="14203063"/>
    <w:rsid w:val="143E1E38"/>
    <w:rsid w:val="1490670C"/>
    <w:rsid w:val="152E563E"/>
    <w:rsid w:val="15B93156"/>
    <w:rsid w:val="16D23D7F"/>
    <w:rsid w:val="171F3E7E"/>
    <w:rsid w:val="18325353"/>
    <w:rsid w:val="188449CB"/>
    <w:rsid w:val="18B229B2"/>
    <w:rsid w:val="18C23BA8"/>
    <w:rsid w:val="19871CEE"/>
    <w:rsid w:val="19EE2997"/>
    <w:rsid w:val="19FE4517"/>
    <w:rsid w:val="1AE345F4"/>
    <w:rsid w:val="1B37398D"/>
    <w:rsid w:val="1BAF4FC1"/>
    <w:rsid w:val="1C7339BB"/>
    <w:rsid w:val="1C7A5BA8"/>
    <w:rsid w:val="1E664711"/>
    <w:rsid w:val="1EC222D9"/>
    <w:rsid w:val="1F2B5D07"/>
    <w:rsid w:val="1FC004DE"/>
    <w:rsid w:val="1FD31F15"/>
    <w:rsid w:val="21165322"/>
    <w:rsid w:val="212E3259"/>
    <w:rsid w:val="213F6812"/>
    <w:rsid w:val="21872D7C"/>
    <w:rsid w:val="21E32E28"/>
    <w:rsid w:val="22287087"/>
    <w:rsid w:val="226A16D4"/>
    <w:rsid w:val="237778B4"/>
    <w:rsid w:val="23F5677C"/>
    <w:rsid w:val="24626694"/>
    <w:rsid w:val="246C4EE4"/>
    <w:rsid w:val="258D6CE0"/>
    <w:rsid w:val="262C5C89"/>
    <w:rsid w:val="26644B8A"/>
    <w:rsid w:val="279D4F06"/>
    <w:rsid w:val="27A45517"/>
    <w:rsid w:val="2A4F0978"/>
    <w:rsid w:val="2B1B3EFC"/>
    <w:rsid w:val="2CEA3815"/>
    <w:rsid w:val="2DE10173"/>
    <w:rsid w:val="2F327E79"/>
    <w:rsid w:val="2F7CE1EF"/>
    <w:rsid w:val="2F8A6913"/>
    <w:rsid w:val="30BC3FAC"/>
    <w:rsid w:val="30DB5683"/>
    <w:rsid w:val="30FA2F6D"/>
    <w:rsid w:val="31075B7E"/>
    <w:rsid w:val="312746E5"/>
    <w:rsid w:val="31562B39"/>
    <w:rsid w:val="31BE0AF5"/>
    <w:rsid w:val="32CE76E8"/>
    <w:rsid w:val="3334290F"/>
    <w:rsid w:val="33740640"/>
    <w:rsid w:val="354958F4"/>
    <w:rsid w:val="3585615B"/>
    <w:rsid w:val="363C12E3"/>
    <w:rsid w:val="368E5656"/>
    <w:rsid w:val="377FBB27"/>
    <w:rsid w:val="37F16547"/>
    <w:rsid w:val="38B63DA7"/>
    <w:rsid w:val="3930619F"/>
    <w:rsid w:val="3A4E178D"/>
    <w:rsid w:val="3BF97ECA"/>
    <w:rsid w:val="3C2965F0"/>
    <w:rsid w:val="3D6B1177"/>
    <w:rsid w:val="3D6D6452"/>
    <w:rsid w:val="3E5F4AE1"/>
    <w:rsid w:val="3E853745"/>
    <w:rsid w:val="3F2604DF"/>
    <w:rsid w:val="3F6783E4"/>
    <w:rsid w:val="3F842066"/>
    <w:rsid w:val="3FFF82D4"/>
    <w:rsid w:val="402E7C06"/>
    <w:rsid w:val="404774DA"/>
    <w:rsid w:val="40FE5F8F"/>
    <w:rsid w:val="425049CE"/>
    <w:rsid w:val="442B16EC"/>
    <w:rsid w:val="458F64B9"/>
    <w:rsid w:val="45C51FFB"/>
    <w:rsid w:val="46157ACD"/>
    <w:rsid w:val="47243FC5"/>
    <w:rsid w:val="48C10000"/>
    <w:rsid w:val="4A555101"/>
    <w:rsid w:val="4A5C08B9"/>
    <w:rsid w:val="4ADF49AE"/>
    <w:rsid w:val="4B8F0B22"/>
    <w:rsid w:val="4C02380F"/>
    <w:rsid w:val="4C31118F"/>
    <w:rsid w:val="4C7C04B3"/>
    <w:rsid w:val="4CC8271B"/>
    <w:rsid w:val="4D9306AE"/>
    <w:rsid w:val="4E8950D9"/>
    <w:rsid w:val="4F722566"/>
    <w:rsid w:val="4F93378A"/>
    <w:rsid w:val="501D64F0"/>
    <w:rsid w:val="503F09B5"/>
    <w:rsid w:val="516D5500"/>
    <w:rsid w:val="52802336"/>
    <w:rsid w:val="52A35FE1"/>
    <w:rsid w:val="53A0483E"/>
    <w:rsid w:val="547C0750"/>
    <w:rsid w:val="55FE5622"/>
    <w:rsid w:val="57503162"/>
    <w:rsid w:val="58A4140A"/>
    <w:rsid w:val="591F0542"/>
    <w:rsid w:val="59A10938"/>
    <w:rsid w:val="5BA419F7"/>
    <w:rsid w:val="5BEF1DBF"/>
    <w:rsid w:val="5BF91583"/>
    <w:rsid w:val="5BFB2E57"/>
    <w:rsid w:val="5C1B042B"/>
    <w:rsid w:val="5C466CF1"/>
    <w:rsid w:val="5C5D2BD9"/>
    <w:rsid w:val="5DD3131E"/>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97C309E"/>
    <w:rsid w:val="6AD7030F"/>
    <w:rsid w:val="6B0F76F1"/>
    <w:rsid w:val="6BA277B7"/>
    <w:rsid w:val="6BCC1BB9"/>
    <w:rsid w:val="6BCC61AB"/>
    <w:rsid w:val="6C6723F1"/>
    <w:rsid w:val="6CA043FD"/>
    <w:rsid w:val="6CA517CF"/>
    <w:rsid w:val="6D064CEC"/>
    <w:rsid w:val="6D6C7F13"/>
    <w:rsid w:val="6D923254"/>
    <w:rsid w:val="6DD2313B"/>
    <w:rsid w:val="6E0127D0"/>
    <w:rsid w:val="6E04767D"/>
    <w:rsid w:val="6E355D52"/>
    <w:rsid w:val="6E6950E9"/>
    <w:rsid w:val="6ED952C0"/>
    <w:rsid w:val="6F013B3F"/>
    <w:rsid w:val="6F732ABB"/>
    <w:rsid w:val="6FAC3760"/>
    <w:rsid w:val="6FF58B64"/>
    <w:rsid w:val="6FF8F863"/>
    <w:rsid w:val="70CF02CA"/>
    <w:rsid w:val="70F532B7"/>
    <w:rsid w:val="71013020"/>
    <w:rsid w:val="710D7C3E"/>
    <w:rsid w:val="71BC0C07"/>
    <w:rsid w:val="71FC56E7"/>
    <w:rsid w:val="7376089F"/>
    <w:rsid w:val="74E06ABE"/>
    <w:rsid w:val="75B2DA43"/>
    <w:rsid w:val="75BD90DB"/>
    <w:rsid w:val="75CC41D0"/>
    <w:rsid w:val="75F8119D"/>
    <w:rsid w:val="76222141"/>
    <w:rsid w:val="76704CDE"/>
    <w:rsid w:val="76D869B3"/>
    <w:rsid w:val="76FD0A98"/>
    <w:rsid w:val="770C0E80"/>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annotation text"/>
    <w:basedOn w:val="1"/>
    <w:qFormat/>
    <w:uiPriority w:val="0"/>
    <w:pPr>
      <w:jc w:val="left"/>
    </w:pPr>
  </w:style>
  <w:style w:type="paragraph" w:styleId="5">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2941</Words>
  <Characters>3066</Characters>
  <Lines>0</Lines>
  <Paragraphs>0</Paragraphs>
  <TotalTime>23</TotalTime>
  <ScaleCrop>false</ScaleCrop>
  <LinksUpToDate>false</LinksUpToDate>
  <CharactersWithSpaces>3077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2026-09-08T02:21:47Z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DFA57AE453AD49CEB4B9F1CA507FEBAA_13</vt:lpwstr>
  </property>
  <property fmtid="{D5CDD505-2E9C-101B-9397-08002B2CF9AE}" pid="4" name="KSOTemplateDocerSaveRecord">
    <vt:lpwstr>eyJoZGlkIjoiNjljYzBiNmJkNjNmYjA3MDkwNzQ4ZTM5NDc1MTY5NDgiLCJ1c2VySWQiOiI5MTQwNjk2NTMifQ==</vt:lpwstr>
  </property>
</Properties>
</file>