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F5B67">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4" w:name="_GoBack"/>
      <w:bookmarkStart w:id="0" w:name="DYNAMIC—DWXX—tAj_dwmc"/>
      <w:r>
        <w:rPr>
          <w:rFonts w:hint="eastAsia" w:ascii="方正小标宋简体" w:hAnsi="方正小标宋简体" w:eastAsia="方正小标宋简体" w:cs="方正小标宋简体"/>
          <w:color w:val="auto"/>
          <w:sz w:val="44"/>
          <w:u w:val="none"/>
          <w:lang w:eastAsia="zh-CN"/>
        </w:rPr>
        <w:t>柳州市</w:t>
      </w:r>
      <w:r>
        <w:rPr>
          <w:rFonts w:hint="default" w:ascii="方正小标宋简体" w:hAnsi="方正小标宋简体" w:eastAsia="方正小标宋简体" w:cs="方正小标宋简体"/>
          <w:color w:val="auto"/>
          <w:sz w:val="44"/>
          <w:u w:val="none"/>
        </w:rPr>
        <w:t>柳北区市场监督管理局</w:t>
      </w:r>
      <w:bookmarkEnd w:id="0"/>
    </w:p>
    <w:p w14:paraId="27094550">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u w:val="none"/>
          <w:lang w:val="en-US"/>
        </w:rPr>
        <w:t>行政处罚</w:t>
      </w:r>
      <w:r>
        <w:rPr>
          <w:rFonts w:hint="eastAsia" w:hAnsi="方正小标宋简体" w:eastAsia="方正小标宋简体" w:cs="方正小标宋简体"/>
          <w:color w:val="auto"/>
          <w:sz w:val="44"/>
          <w:szCs w:val="44"/>
          <w:u w:val="none"/>
          <w:lang w:val="en-US" w:eastAsia="zh-Hans"/>
        </w:rPr>
        <w:t>决定</w:t>
      </w:r>
      <w:r>
        <w:rPr>
          <w:rFonts w:hint="eastAsia" w:hAnsi="方正小标宋简体" w:eastAsia="方正小标宋简体" w:cs="方正小标宋简体"/>
          <w:color w:val="auto"/>
          <w:sz w:val="44"/>
          <w:szCs w:val="44"/>
          <w:u w:val="none"/>
          <w:lang w:val="en-US"/>
        </w:rPr>
        <w:t>书</w:t>
      </w:r>
      <w:bookmarkEnd w:id="1"/>
    </w:p>
    <w:p w14:paraId="730D80A4">
      <w:pPr>
        <w:adjustRightInd w:val="0"/>
        <w:spacing w:line="480" w:lineRule="exact"/>
        <w:ind w:right="233" w:rightChars="111" w:firstLine="2560" w:firstLineChars="800"/>
        <w:textAlignment w:val="baseline"/>
        <w:rPr>
          <w:rFonts w:hint="eastAsia" w:ascii="方正仿宋_GB2312" w:hAnsi="方正仿宋_GB2312" w:eastAsia="方正仿宋_GB2312" w:cs="方正仿宋_GB2312"/>
          <w:color w:val="auto"/>
          <w:sz w:val="32"/>
          <w:szCs w:val="32"/>
        </w:rPr>
      </w:pPr>
      <w:bookmarkStart w:id="2" w:name="tAj_wh"/>
      <w:r>
        <w:rPr>
          <w:rFonts w:hint="eastAsia" w:ascii="Times New Roman" w:hAnsi="Times New Roman" w:eastAsia="方正仿宋_GB2312" w:cs="Mongolian Baiti"/>
          <w:color w:val="auto"/>
          <w:sz w:val="32"/>
          <w:u w:val="none"/>
        </w:rPr>
        <w:t>柳北市监处罚〔202</w:t>
      </w:r>
      <w:r>
        <w:rPr>
          <w:rFonts w:hint="eastAsia" w:ascii="Times New Roman" w:hAnsi="Times New Roman" w:eastAsia="方正仿宋_GB2312" w:cs="Mongolian Baiti"/>
          <w:color w:val="auto"/>
          <w:sz w:val="32"/>
          <w:u w:val="none"/>
          <w:lang w:val="en-US" w:eastAsia="zh-CN"/>
        </w:rPr>
        <w:t>6</w:t>
      </w:r>
      <w:r>
        <w:rPr>
          <w:rFonts w:hint="eastAsia" w:ascii="Times New Roman" w:hAnsi="Times New Roman" w:eastAsia="方正仿宋_GB2312" w:cs="Mongolian Baiti"/>
          <w:color w:val="auto"/>
          <w:sz w:val="32"/>
          <w:u w:val="none"/>
        </w:rPr>
        <w:t>〕</w:t>
      </w:r>
      <w:r>
        <w:rPr>
          <w:rFonts w:hint="eastAsia" w:ascii="Times New Roman" w:hAnsi="Times New Roman" w:eastAsia="方正仿宋_GB2312" w:cs="Mongolian Baiti"/>
          <w:color w:val="auto"/>
          <w:sz w:val="32"/>
          <w:u w:val="none"/>
          <w:lang w:val="en-US" w:eastAsia="zh-CN"/>
        </w:rPr>
        <w:t>84</w:t>
      </w:r>
      <w:r>
        <w:rPr>
          <w:rFonts w:hint="eastAsia" w:ascii="Times New Roman" w:hAnsi="Times New Roman" w:eastAsia="方正仿宋_GB2312" w:cs="Mongolian Baiti"/>
          <w:color w:val="auto"/>
          <w:sz w:val="32"/>
          <w:u w:val="none"/>
        </w:rPr>
        <w:t>号</w:t>
      </w:r>
      <w:bookmarkEnd w:id="2"/>
    </w:p>
    <w:p w14:paraId="7FFF6111">
      <w:pPr>
        <w:adjustRightInd w:val="0"/>
        <w:spacing w:line="520" w:lineRule="exact"/>
        <w:ind w:right="233" w:rightChars="111"/>
        <w:textAlignment w:val="baseline"/>
        <w:rPr>
          <w:rFonts w:hint="eastAsia" w:ascii="方正仿宋_GB2312" w:hAnsi="方正仿宋_GB2312" w:eastAsia="方正仿宋_GB2312" w:cs="方正仿宋_GB2312"/>
          <w:color w:val="auto"/>
          <w:sz w:val="32"/>
          <w:szCs w:val="32"/>
        </w:rPr>
      </w:pPr>
    </w:p>
    <w:p w14:paraId="3FAB179B">
      <w:pPr>
        <w:keepNext w:val="0"/>
        <w:keepLines w:val="0"/>
        <w:pageBreakBefore w:val="0"/>
        <w:widowControl w:val="0"/>
        <w:kinsoku/>
        <w:wordWrap/>
        <w:overflowPunct/>
        <w:topLinePunct w:val="0"/>
        <w:bidi w:val="0"/>
        <w:adjustRightInd w:val="0"/>
        <w:snapToGrid/>
        <w:spacing w:line="480" w:lineRule="exact"/>
        <w:ind w:right="233" w:rightChars="111"/>
        <w:textAlignment w:val="baseline"/>
        <w:rPr>
          <w:rFonts w:hint="eastAsia" w:ascii="仿宋_GB2312" w:hAnsi="仿宋_GB2312" w:eastAsia="仿宋_GB2312" w:cs="仿宋_GB2312"/>
          <w:color w:val="auto"/>
          <w:sz w:val="32"/>
          <w:szCs w:val="32"/>
          <w:u w:val="none" w:color="auto"/>
          <w:lang w:eastAsia="zh-CN"/>
        </w:rPr>
      </w:pPr>
      <w:r>
        <w:rPr>
          <w:rFonts w:hint="eastAsia" w:ascii="仿宋_GB2312" w:hAnsi="仿宋_GB2312" w:eastAsia="仿宋_GB2312" w:cs="仿宋_GB2312"/>
          <w:color w:val="auto"/>
          <w:sz w:val="32"/>
          <w:szCs w:val="32"/>
        </w:rPr>
        <w:t>当事人：</w:t>
      </w:r>
      <w:r>
        <w:rPr>
          <w:rFonts w:hint="eastAsia" w:ascii="仿宋_GB2312" w:hAnsi="仿宋_GB2312" w:eastAsia="仿宋_GB2312" w:cs="仿宋_GB2312"/>
          <w:color w:val="auto"/>
          <w:sz w:val="32"/>
          <w:szCs w:val="32"/>
          <w:u w:val="none" w:color="auto"/>
          <w:lang w:eastAsia="zh-CN"/>
        </w:rPr>
        <w:t>曾晓舟</w:t>
      </w:r>
    </w:p>
    <w:p w14:paraId="60DEB1CC">
      <w:pPr>
        <w:keepNext w:val="0"/>
        <w:keepLines w:val="0"/>
        <w:pageBreakBefore w:val="0"/>
        <w:widowControl w:val="0"/>
        <w:kinsoku/>
        <w:wordWrap/>
        <w:overflowPunct/>
        <w:topLinePunct w:val="0"/>
        <w:autoSpaceDE w:val="0"/>
        <w:autoSpaceDN w:val="0"/>
        <w:bidi w:val="0"/>
        <w:adjustRightInd w:val="0"/>
        <w:snapToGrid/>
        <w:spacing w:line="48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bidi="ar-SA"/>
        </w:rPr>
        <w:t>性别：</w:t>
      </w:r>
      <w:r>
        <w:rPr>
          <w:rFonts w:hint="eastAsia" w:ascii="仿宋_GB2312" w:hAnsi="仿宋_GB2312" w:eastAsia="仿宋_GB2312" w:cs="仿宋_GB2312"/>
          <w:color w:val="auto"/>
          <w:sz w:val="32"/>
          <w:szCs w:val="32"/>
          <w:lang w:val="en-US" w:eastAsia="zh-CN"/>
        </w:rPr>
        <w:t>男</w:t>
      </w:r>
    </w:p>
    <w:p w14:paraId="296FE223">
      <w:pPr>
        <w:keepNext w:val="0"/>
        <w:keepLines w:val="0"/>
        <w:pageBreakBefore w:val="0"/>
        <w:widowControl w:val="0"/>
        <w:kinsoku/>
        <w:wordWrap/>
        <w:overflowPunct/>
        <w:topLinePunct w:val="0"/>
        <w:autoSpaceDE w:val="0"/>
        <w:autoSpaceDN w:val="0"/>
        <w:bidi w:val="0"/>
        <w:adjustRightInd w:val="0"/>
        <w:snapToGrid/>
        <w:spacing w:line="480" w:lineRule="exact"/>
        <w:rPr>
          <w:rFonts w:hint="eastAsia"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民族：</w:t>
      </w:r>
      <w:r>
        <w:rPr>
          <w:rFonts w:hint="eastAsia" w:ascii="仿宋_GB2312" w:hAnsi="仿宋_GB2312" w:eastAsia="仿宋_GB2312" w:cs="仿宋_GB2312"/>
          <w:color w:val="auto"/>
          <w:sz w:val="32"/>
          <w:szCs w:val="32"/>
          <w:lang w:val="en-US" w:eastAsia="zh-CN"/>
        </w:rPr>
        <w:t>汉族</w:t>
      </w:r>
    </w:p>
    <w:p w14:paraId="4B5982C5">
      <w:pPr>
        <w:keepNext w:val="0"/>
        <w:keepLines w:val="0"/>
        <w:pageBreakBefore w:val="0"/>
        <w:widowControl w:val="0"/>
        <w:kinsoku/>
        <w:wordWrap/>
        <w:overflowPunct/>
        <w:topLinePunct w:val="0"/>
        <w:autoSpaceDE w:val="0"/>
        <w:autoSpaceDN w:val="0"/>
        <w:bidi w:val="0"/>
        <w:adjustRightInd w:val="0"/>
        <w:snapToGrid/>
        <w:spacing w:line="480" w:lineRule="exact"/>
        <w:rPr>
          <w:rFonts w:hint="default"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出生日期：</w:t>
      </w:r>
      <w:r>
        <w:rPr>
          <w:rFonts w:hint="eastAsia" w:ascii="仿宋_GB2312" w:hAnsi="仿宋_GB2312" w:eastAsia="仿宋_GB2312" w:cs="仿宋_GB2312"/>
          <w:color w:val="auto"/>
          <w:sz w:val="32"/>
          <w:szCs w:val="32"/>
          <w:lang w:val="en-US" w:eastAsia="zh-CN"/>
        </w:rPr>
        <w:t>*</w:t>
      </w:r>
    </w:p>
    <w:p w14:paraId="12285B55">
      <w:pPr>
        <w:keepNext w:val="0"/>
        <w:keepLines w:val="0"/>
        <w:pageBreakBefore w:val="0"/>
        <w:widowControl w:val="0"/>
        <w:kinsoku/>
        <w:wordWrap/>
        <w:overflowPunct/>
        <w:topLinePunct w:val="0"/>
        <w:bidi w:val="0"/>
        <w:adjustRightInd w:val="0"/>
        <w:snapToGrid/>
        <w:spacing w:line="480" w:lineRule="exact"/>
        <w:textAlignment w:val="baseline"/>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u w:val="none"/>
          <w:lang w:val="en-US" w:eastAsia="zh-CN"/>
        </w:rPr>
        <w:t>身份证件号码：</w:t>
      </w:r>
      <w:r>
        <w:rPr>
          <w:rFonts w:hint="eastAsia" w:ascii="仿宋_GB2312" w:hAnsi="仿宋_GB2312" w:eastAsia="仿宋_GB2312" w:cs="仿宋_GB2312"/>
          <w:color w:val="auto"/>
          <w:sz w:val="32"/>
          <w:szCs w:val="32"/>
          <w:lang w:val="en-US" w:eastAsia="zh-CN"/>
        </w:rPr>
        <w:t>*</w:t>
      </w:r>
    </w:p>
    <w:p w14:paraId="1A66AEA7">
      <w:pPr>
        <w:keepNext w:val="0"/>
        <w:keepLines w:val="0"/>
        <w:pageBreakBefore w:val="0"/>
        <w:widowControl w:val="0"/>
        <w:kinsoku/>
        <w:wordWrap/>
        <w:overflowPunct/>
        <w:topLinePunct w:val="0"/>
        <w:autoSpaceDE w:val="0"/>
        <w:autoSpaceDN w:val="0"/>
        <w:bidi w:val="0"/>
        <w:adjustRightInd w:val="0"/>
        <w:snapToGrid/>
        <w:spacing w:line="480" w:lineRule="exact"/>
        <w:rPr>
          <w:rFonts w:hint="eastAsia"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联系电话：</w:t>
      </w:r>
      <w:r>
        <w:rPr>
          <w:rFonts w:hint="eastAsia" w:ascii="仿宋_GB2312" w:hAnsi="仿宋_GB2312" w:eastAsia="仿宋_GB2312" w:cs="仿宋_GB2312"/>
          <w:color w:val="auto"/>
          <w:sz w:val="32"/>
          <w:szCs w:val="32"/>
          <w:u w:val="none"/>
          <w:lang w:val="en-US" w:eastAsia="zh-CN"/>
        </w:rPr>
        <w:t>*</w:t>
      </w:r>
    </w:p>
    <w:p w14:paraId="60C48A70">
      <w:pPr>
        <w:pStyle w:val="2"/>
        <w:keepNext w:val="0"/>
        <w:keepLines w:val="0"/>
        <w:pageBreakBefore w:val="0"/>
        <w:widowControl w:val="0"/>
        <w:kinsoku/>
        <w:wordWrap/>
        <w:overflowPunct/>
        <w:topLinePunct w:val="0"/>
        <w:bidi w:val="0"/>
        <w:snapToGrid/>
        <w:spacing w:line="48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bidi="ar-SA"/>
        </w:rPr>
        <w:t>住址：</w:t>
      </w:r>
      <w:r>
        <w:rPr>
          <w:rFonts w:hint="eastAsia" w:ascii="仿宋_GB2312" w:hAnsi="仿宋_GB2312" w:eastAsia="仿宋_GB2312" w:cs="仿宋_GB2312"/>
          <w:color w:val="auto"/>
          <w:sz w:val="32"/>
          <w:szCs w:val="32"/>
          <w:highlight w:val="none"/>
        </w:rPr>
        <w:t>广东省揭西县</w:t>
      </w:r>
      <w:r>
        <w:rPr>
          <w:rFonts w:hint="eastAsia" w:ascii="仿宋_GB2312" w:hAnsi="仿宋_GB2312" w:eastAsia="仿宋_GB2312" w:cs="仿宋_GB2312"/>
          <w:color w:val="auto"/>
          <w:sz w:val="32"/>
          <w:szCs w:val="32"/>
          <w:highlight w:val="none"/>
          <w:lang w:val="en-US" w:eastAsia="zh-CN"/>
        </w:rPr>
        <w:t>*</w:t>
      </w:r>
    </w:p>
    <w:p w14:paraId="73A5E63F">
      <w:pPr>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ascii="仿宋_GB2312" w:hAnsi="仿宋_GB2312" w:eastAsia="仿宋_GB2312" w:cs="仿宋_GB2312"/>
          <w:color w:val="auto"/>
          <w:sz w:val="32"/>
          <w:szCs w:val="32"/>
          <w:u w:val="none"/>
          <w:lang w:val="en-US" w:eastAsia="zh-CN" w:bidi="ar-SA"/>
        </w:rPr>
      </w:pPr>
    </w:p>
    <w:p w14:paraId="2E0BDB00">
      <w:pPr>
        <w:keepNext w:val="0"/>
        <w:keepLines w:val="0"/>
        <w:pageBreakBefore w:val="0"/>
        <w:widowControl w:val="0"/>
        <w:kinsoku/>
        <w:wordWrap/>
        <w:overflowPunct/>
        <w:topLinePunct w:val="0"/>
        <w:autoSpaceDE/>
        <w:autoSpaceDN/>
        <w:bidi w:val="0"/>
        <w:adjustRightInd w:val="0"/>
        <w:snapToGrid/>
        <w:spacing w:line="480" w:lineRule="exact"/>
        <w:ind w:right="233" w:rightChars="111" w:firstLine="640" w:firstLineChars="200"/>
        <w:textAlignment w:val="baseline"/>
        <w:rPr>
          <w:rFonts w:hint="eastAsia" w:ascii="仿宋_GB2312" w:hAnsi="仿宋_GB2312" w:eastAsia="仿宋_GB2312" w:cs="仿宋_GB2312"/>
          <w:bCs/>
          <w:color w:val="auto"/>
          <w:sz w:val="32"/>
          <w:szCs w:val="32"/>
          <w:u w:val="none"/>
        </w:rPr>
      </w:pPr>
      <w:r>
        <w:rPr>
          <w:rFonts w:hint="eastAsia" w:ascii="仿宋_GB2312" w:hAnsi="仿宋_GB2312" w:eastAsia="仿宋_GB2312" w:cs="仿宋_GB2312"/>
          <w:bCs/>
          <w:color w:val="auto"/>
          <w:sz w:val="32"/>
          <w:szCs w:val="32"/>
        </w:rPr>
        <w:t>202</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年</w:t>
      </w:r>
      <w:r>
        <w:rPr>
          <w:rFonts w:hint="eastAsia" w:ascii="仿宋_GB2312" w:hAnsi="仿宋_GB2312" w:eastAsia="仿宋_GB2312" w:cs="仿宋_GB2312"/>
          <w:bCs/>
          <w:color w:val="auto"/>
          <w:sz w:val="32"/>
          <w:szCs w:val="32"/>
          <w:lang w:val="en-US" w:eastAsia="zh-CN"/>
        </w:rPr>
        <w:t>4</w:t>
      </w:r>
      <w:r>
        <w:rPr>
          <w:rFonts w:hint="eastAsia" w:ascii="仿宋_GB2312" w:hAnsi="仿宋_GB2312" w:eastAsia="仿宋_GB2312" w:cs="仿宋_GB2312"/>
          <w:bCs/>
          <w:color w:val="auto"/>
          <w:sz w:val="32"/>
          <w:szCs w:val="32"/>
        </w:rPr>
        <w:t>月</w:t>
      </w:r>
      <w:r>
        <w:rPr>
          <w:rFonts w:hint="eastAsia" w:ascii="仿宋_GB2312" w:hAnsi="仿宋_GB2312" w:eastAsia="仿宋_GB2312" w:cs="仿宋_GB2312"/>
          <w:bCs/>
          <w:color w:val="auto"/>
          <w:sz w:val="32"/>
          <w:szCs w:val="32"/>
          <w:lang w:val="en-US" w:eastAsia="zh-CN"/>
        </w:rPr>
        <w:t>23</w:t>
      </w:r>
      <w:r>
        <w:rPr>
          <w:rFonts w:hint="eastAsia" w:ascii="仿宋_GB2312" w:hAnsi="仿宋_GB2312" w:eastAsia="仿宋_GB2312" w:cs="仿宋_GB2312"/>
          <w:bCs/>
          <w:color w:val="auto"/>
          <w:sz w:val="32"/>
          <w:szCs w:val="32"/>
        </w:rPr>
        <w:t>日我局收到了</w:t>
      </w:r>
      <w:r>
        <w:rPr>
          <w:rFonts w:hint="eastAsia" w:ascii="仿宋_GB2312" w:hAnsi="仿宋_GB2312" w:eastAsia="仿宋_GB2312" w:cs="仿宋_GB2312"/>
          <w:bCs/>
          <w:color w:val="auto"/>
          <w:sz w:val="32"/>
          <w:szCs w:val="32"/>
          <w:lang w:eastAsia="zh-CN"/>
        </w:rPr>
        <w:t>广西民生中检联检测有限公司</w:t>
      </w:r>
      <w:r>
        <w:rPr>
          <w:rFonts w:hint="eastAsia" w:ascii="仿宋_GB2312" w:hAnsi="仿宋_GB2312" w:eastAsia="仿宋_GB2312" w:cs="仿宋_GB2312"/>
          <w:bCs/>
          <w:color w:val="auto"/>
          <w:sz w:val="32"/>
          <w:szCs w:val="32"/>
        </w:rPr>
        <w:t>出具的编号为</w:t>
      </w:r>
      <w:r>
        <w:rPr>
          <w:rFonts w:hint="eastAsia" w:ascii="仿宋_GB2312" w:hAnsi="仿宋_GB2312" w:eastAsia="仿宋_GB2312" w:cs="仿宋_GB2312"/>
          <w:bCs/>
          <w:color w:val="auto"/>
          <w:sz w:val="32"/>
          <w:szCs w:val="32"/>
          <w:u w:val="none"/>
          <w:lang w:val="en-US" w:eastAsia="zh-CN"/>
        </w:rPr>
        <w:t>N</w:t>
      </w:r>
      <w:r>
        <w:rPr>
          <w:rFonts w:hint="eastAsia" w:ascii="仿宋_GB2312" w:hAnsi="仿宋_GB2312" w:eastAsia="仿宋_GB2312" w:cs="仿宋_GB2312"/>
          <w:bCs/>
          <w:color w:val="auto"/>
          <w:sz w:val="32"/>
          <w:szCs w:val="32"/>
          <w:u w:val="single"/>
          <w:lang w:val="en-US" w:eastAsia="zh-CN"/>
        </w:rPr>
        <w:t>o</w:t>
      </w:r>
      <w:r>
        <w:rPr>
          <w:rFonts w:hint="eastAsia" w:ascii="仿宋_GB2312" w:hAnsi="仿宋_GB2312" w:eastAsia="仿宋_GB2312" w:cs="仿宋_GB2312"/>
          <w:bCs/>
          <w:color w:val="auto"/>
          <w:sz w:val="32"/>
          <w:szCs w:val="32"/>
          <w:u w:val="none"/>
          <w:lang w:val="en-US" w:eastAsia="zh-CN"/>
        </w:rPr>
        <w:t>：BFSQG030467024C、N</w:t>
      </w:r>
      <w:r>
        <w:rPr>
          <w:rFonts w:hint="eastAsia" w:ascii="仿宋_GB2312" w:hAnsi="仿宋_GB2312" w:eastAsia="仿宋_GB2312" w:cs="仿宋_GB2312"/>
          <w:bCs/>
          <w:color w:val="auto"/>
          <w:sz w:val="32"/>
          <w:szCs w:val="32"/>
          <w:u w:val="single"/>
          <w:lang w:val="en-US" w:eastAsia="zh-CN"/>
        </w:rPr>
        <w:t>o</w:t>
      </w:r>
      <w:r>
        <w:rPr>
          <w:rFonts w:hint="eastAsia" w:ascii="仿宋_GB2312" w:hAnsi="仿宋_GB2312" w:eastAsia="仿宋_GB2312" w:cs="仿宋_GB2312"/>
          <w:bCs/>
          <w:color w:val="auto"/>
          <w:sz w:val="32"/>
          <w:szCs w:val="32"/>
          <w:u w:val="none"/>
          <w:lang w:val="en-US" w:eastAsia="zh-CN"/>
        </w:rPr>
        <w:t>：BFSQG030467025C的《检验报告》</w:t>
      </w:r>
      <w:r>
        <w:rPr>
          <w:rFonts w:hint="eastAsia" w:ascii="仿宋_GB2312" w:hAnsi="仿宋_GB2312" w:eastAsia="仿宋_GB2312" w:cs="仿宋_GB2312"/>
          <w:bCs/>
          <w:color w:val="auto"/>
          <w:sz w:val="32"/>
          <w:szCs w:val="32"/>
        </w:rPr>
        <w:t>，检验结论为不合格。202</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年</w:t>
      </w:r>
      <w:r>
        <w:rPr>
          <w:rFonts w:hint="eastAsia" w:ascii="仿宋_GB2312" w:hAnsi="仿宋_GB2312" w:eastAsia="仿宋_GB2312" w:cs="仿宋_GB2312"/>
          <w:bCs/>
          <w:color w:val="auto"/>
          <w:sz w:val="32"/>
          <w:szCs w:val="32"/>
          <w:lang w:val="en-US" w:eastAsia="zh-CN"/>
        </w:rPr>
        <w:t>4</w:t>
      </w:r>
      <w:r>
        <w:rPr>
          <w:rFonts w:hint="eastAsia" w:ascii="仿宋_GB2312" w:hAnsi="仿宋_GB2312" w:eastAsia="仿宋_GB2312" w:cs="仿宋_GB2312"/>
          <w:bCs/>
          <w:color w:val="auto"/>
          <w:sz w:val="32"/>
          <w:szCs w:val="32"/>
        </w:rPr>
        <w:t>月</w:t>
      </w:r>
      <w:r>
        <w:rPr>
          <w:rFonts w:hint="eastAsia" w:ascii="仿宋_GB2312" w:hAnsi="仿宋_GB2312" w:eastAsia="仿宋_GB2312" w:cs="仿宋_GB2312"/>
          <w:bCs/>
          <w:color w:val="auto"/>
          <w:sz w:val="32"/>
          <w:szCs w:val="32"/>
          <w:lang w:val="en-US" w:eastAsia="zh-CN"/>
        </w:rPr>
        <w:t>27</w:t>
      </w:r>
      <w:r>
        <w:rPr>
          <w:rFonts w:hint="eastAsia" w:ascii="仿宋_GB2312" w:hAnsi="仿宋_GB2312" w:eastAsia="仿宋_GB2312" w:cs="仿宋_GB2312"/>
          <w:bCs/>
          <w:color w:val="auto"/>
          <w:sz w:val="32"/>
          <w:szCs w:val="32"/>
        </w:rPr>
        <w:t>日我局执法人员向当事人送达上述《检验报告》及《食品安全抽样检验结果通知书》，并对当事人经营场所进行现场检查，经检查，</w:t>
      </w:r>
      <w:r>
        <w:rPr>
          <w:rFonts w:hint="eastAsia" w:ascii="仿宋_GB2312" w:hAnsi="仿宋_GB2312" w:eastAsia="仿宋_GB2312" w:cs="仿宋_GB2312"/>
          <w:bCs/>
          <w:color w:val="auto"/>
          <w:sz w:val="32"/>
          <w:szCs w:val="32"/>
          <w:lang w:eastAsia="zh-CN"/>
        </w:rPr>
        <w:t>当事人的经营场所已关闭</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color w:val="auto"/>
          <w:sz w:val="32"/>
          <w:szCs w:val="32"/>
        </w:rPr>
        <w:t>当事人在法定期限内未提出</w:t>
      </w:r>
      <w:r>
        <w:rPr>
          <w:rFonts w:hint="eastAsia" w:ascii="仿宋_GB2312" w:hAnsi="仿宋_GB2312" w:eastAsia="仿宋_GB2312" w:cs="仿宋_GB2312"/>
          <w:color w:val="auto"/>
          <w:sz w:val="32"/>
          <w:szCs w:val="32"/>
          <w:lang w:eastAsia="zh-CN"/>
        </w:rPr>
        <w:t>复检</w:t>
      </w:r>
      <w:r>
        <w:rPr>
          <w:rFonts w:hint="eastAsia" w:ascii="仿宋_GB2312" w:hAnsi="仿宋_GB2312" w:eastAsia="仿宋_GB2312" w:cs="仿宋_GB2312"/>
          <w:color w:val="auto"/>
          <w:sz w:val="32"/>
          <w:szCs w:val="32"/>
        </w:rPr>
        <w:t>申请。</w:t>
      </w:r>
      <w:r>
        <w:rPr>
          <w:rFonts w:hint="eastAsia" w:ascii="仿宋_GB2312" w:hAnsi="仿宋_GB2312" w:eastAsia="仿宋_GB2312" w:cs="仿宋_GB2312"/>
          <w:color w:val="auto"/>
          <w:sz w:val="32"/>
          <w:szCs w:val="32"/>
          <w:u w:val="none"/>
          <w:lang w:eastAsia="zh-CN"/>
        </w:rPr>
        <w:t>我局于</w:t>
      </w:r>
      <w:r>
        <w:rPr>
          <w:rFonts w:hint="eastAsia" w:ascii="仿宋_GB2312" w:hAnsi="仿宋_GB2312" w:eastAsia="仿宋_GB2312" w:cs="仿宋_GB2312"/>
          <w:bCs/>
          <w:color w:val="auto"/>
          <w:sz w:val="32"/>
          <w:szCs w:val="32"/>
          <w:u w:val="none"/>
        </w:rPr>
        <w:t>20</w:t>
      </w:r>
      <w:r>
        <w:rPr>
          <w:rFonts w:hint="eastAsia" w:ascii="仿宋_GB2312" w:hAnsi="仿宋_GB2312" w:eastAsia="仿宋_GB2312" w:cs="仿宋_GB2312"/>
          <w:bCs/>
          <w:color w:val="auto"/>
          <w:sz w:val="32"/>
          <w:szCs w:val="32"/>
          <w:u w:val="none"/>
          <w:lang w:val="en-US" w:eastAsia="zh-CN"/>
        </w:rPr>
        <w:t>26</w:t>
      </w:r>
      <w:r>
        <w:rPr>
          <w:rFonts w:hint="eastAsia" w:ascii="仿宋_GB2312" w:hAnsi="仿宋_GB2312" w:eastAsia="仿宋_GB2312" w:cs="仿宋_GB2312"/>
          <w:bCs/>
          <w:color w:val="auto"/>
          <w:sz w:val="32"/>
          <w:szCs w:val="32"/>
          <w:u w:val="none"/>
        </w:rPr>
        <w:t>年</w:t>
      </w:r>
      <w:r>
        <w:rPr>
          <w:rFonts w:hint="eastAsia" w:ascii="仿宋_GB2312" w:hAnsi="仿宋_GB2312" w:eastAsia="仿宋_GB2312" w:cs="仿宋_GB2312"/>
          <w:bCs/>
          <w:color w:val="auto"/>
          <w:sz w:val="32"/>
          <w:szCs w:val="32"/>
          <w:u w:val="none"/>
          <w:lang w:val="en-US" w:eastAsia="zh-CN"/>
        </w:rPr>
        <w:t>4</w:t>
      </w:r>
      <w:r>
        <w:rPr>
          <w:rFonts w:hint="eastAsia" w:ascii="仿宋_GB2312" w:hAnsi="仿宋_GB2312" w:eastAsia="仿宋_GB2312" w:cs="仿宋_GB2312"/>
          <w:bCs/>
          <w:color w:val="auto"/>
          <w:sz w:val="32"/>
          <w:szCs w:val="32"/>
          <w:u w:val="none"/>
        </w:rPr>
        <w:t>月</w:t>
      </w:r>
      <w:r>
        <w:rPr>
          <w:rFonts w:hint="eastAsia" w:ascii="仿宋_GB2312" w:hAnsi="仿宋_GB2312" w:eastAsia="仿宋_GB2312" w:cs="仿宋_GB2312"/>
          <w:bCs/>
          <w:color w:val="auto"/>
          <w:sz w:val="32"/>
          <w:szCs w:val="32"/>
          <w:u w:val="none"/>
          <w:lang w:val="en-US" w:eastAsia="zh-CN"/>
        </w:rPr>
        <w:t>24</w:t>
      </w:r>
      <w:r>
        <w:rPr>
          <w:rFonts w:hint="eastAsia" w:ascii="仿宋_GB2312" w:hAnsi="仿宋_GB2312" w:eastAsia="仿宋_GB2312" w:cs="仿宋_GB2312"/>
          <w:bCs/>
          <w:color w:val="auto"/>
          <w:sz w:val="32"/>
          <w:szCs w:val="32"/>
          <w:u w:val="none"/>
        </w:rPr>
        <w:t>日</w:t>
      </w:r>
      <w:r>
        <w:rPr>
          <w:rFonts w:hint="eastAsia" w:ascii="仿宋_GB2312" w:hAnsi="仿宋_GB2312" w:eastAsia="仿宋_GB2312" w:cs="仿宋_GB2312"/>
          <w:bCs/>
          <w:color w:val="auto"/>
          <w:sz w:val="32"/>
          <w:szCs w:val="32"/>
          <w:u w:val="none"/>
          <w:lang w:eastAsia="zh-CN"/>
        </w:rPr>
        <w:t>对当事人</w:t>
      </w:r>
      <w:r>
        <w:rPr>
          <w:rFonts w:hint="eastAsia" w:ascii="仿宋_GB2312" w:hAnsi="仿宋_GB2312" w:eastAsia="仿宋_GB2312" w:cs="仿宋_GB2312"/>
          <w:color w:val="auto"/>
          <w:sz w:val="32"/>
          <w:szCs w:val="32"/>
          <w:u w:val="none"/>
          <w:lang w:val="en-US" w:eastAsia="zh-CN"/>
        </w:rPr>
        <w:t>涉嫌</w:t>
      </w:r>
      <w:r>
        <w:rPr>
          <w:rFonts w:hint="eastAsia" w:ascii="仿宋_GB2312" w:hAnsi="仿宋_GB2312" w:eastAsia="仿宋_GB2312" w:cs="仿宋_GB2312"/>
          <w:bCs/>
          <w:color w:val="auto"/>
          <w:sz w:val="32"/>
          <w:szCs w:val="32"/>
          <w:lang w:eastAsia="zh-CN"/>
        </w:rPr>
        <w:t>经营</w:t>
      </w:r>
      <w:r>
        <w:rPr>
          <w:rFonts w:hint="eastAsia" w:ascii="仿宋_GB2312" w:hAnsi="仿宋_GB2312" w:eastAsia="仿宋_GB2312" w:cs="仿宋_GB2312"/>
          <w:bCs/>
          <w:color w:val="auto"/>
          <w:sz w:val="32"/>
          <w:szCs w:val="32"/>
          <w:lang w:val="en-US" w:eastAsia="zh-CN"/>
        </w:rPr>
        <w:t>超限量使用食品添加剂</w:t>
      </w:r>
      <w:r>
        <w:rPr>
          <w:rFonts w:hint="eastAsia" w:ascii="仿宋_GB2312" w:hAnsi="仿宋_GB2312" w:eastAsia="仿宋_GB2312" w:cs="仿宋_GB2312"/>
          <w:color w:val="auto"/>
          <w:sz w:val="32"/>
          <w:szCs w:val="32"/>
          <w:u w:val="none"/>
          <w:lang w:val="en-US" w:eastAsia="zh-CN"/>
        </w:rPr>
        <w:t>的食品</w:t>
      </w:r>
      <w:r>
        <w:rPr>
          <w:rFonts w:hint="eastAsia" w:ascii="仿宋_GB2312" w:hAnsi="仿宋_GB2312" w:eastAsia="仿宋_GB2312" w:cs="仿宋_GB2312"/>
          <w:bCs/>
          <w:color w:val="auto"/>
          <w:sz w:val="32"/>
          <w:szCs w:val="32"/>
          <w:u w:val="none"/>
          <w:lang w:eastAsia="zh-CN"/>
        </w:rPr>
        <w:t>进行立案调查</w:t>
      </w:r>
      <w:r>
        <w:rPr>
          <w:rFonts w:hint="eastAsia" w:ascii="仿宋_GB2312" w:hAnsi="仿宋_GB2312" w:eastAsia="仿宋_GB2312" w:cs="仿宋_GB2312"/>
          <w:bCs/>
          <w:color w:val="auto"/>
          <w:sz w:val="32"/>
          <w:szCs w:val="32"/>
          <w:u w:val="none"/>
        </w:rPr>
        <w:t>。</w:t>
      </w:r>
    </w:p>
    <w:p w14:paraId="6BCC0FD5">
      <w:pPr>
        <w:keepNext w:val="0"/>
        <w:keepLines w:val="0"/>
        <w:pageBreakBefore w:val="0"/>
        <w:widowControl w:val="0"/>
        <w:kinsoku/>
        <w:wordWrap/>
        <w:overflowPunct/>
        <w:topLinePunct w:val="0"/>
        <w:autoSpaceDE/>
        <w:autoSpaceDN/>
        <w:bidi w:val="0"/>
        <w:snapToGrid/>
        <w:spacing w:line="480" w:lineRule="exact"/>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经查实，当事人于2026年3月23日购进酸菜2.5kg，进货价*元/kg，以5.96元/kg的价格进行销售；同日购进酸辣椒3kg，进货价*元/kg，以13.16元/kg的价格进行销售。其中酸菜1.56kg、酸辣椒1.47kg销售给广西民生中检联检测有限公司工作人员抽样送检，剩余的酸菜、酸辣椒在超市内全部售完。上述批次酸菜、酸辣椒货值金额共计54.38元，利润为21.38元。上述批次酸菜、酸辣椒经广西民生中检联检测有限公司抽样检验，</w:t>
      </w:r>
      <w:r>
        <w:rPr>
          <w:rFonts w:hint="eastAsia" w:ascii="仿宋_GB2312" w:hAnsi="仿宋_GB2312" w:eastAsia="仿宋_GB2312" w:cs="仿宋_GB2312"/>
          <w:color w:val="auto"/>
          <w:sz w:val="32"/>
          <w:szCs w:val="32"/>
          <w:u w:val="none"/>
          <w:lang w:val="en-US" w:eastAsia="zh-CN"/>
        </w:rPr>
        <w:t>检验结论：经抽样检验，二氧化硫残留量项目不符合GB 2760-2024《食品安全国家标准 食品添加剂使用标准》要求，检验结论为不合格。</w:t>
      </w:r>
    </w:p>
    <w:p w14:paraId="0F6ACF9E">
      <w:pPr>
        <w:keepNext w:val="0"/>
        <w:keepLines w:val="0"/>
        <w:pageBreakBefore w:val="0"/>
        <w:widowControl w:val="0"/>
        <w:kinsoku/>
        <w:wordWrap/>
        <w:overflowPunct/>
        <w:topLinePunct w:val="0"/>
        <w:bidi w:val="0"/>
        <w:snapToGrid/>
        <w:spacing w:line="4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val="en-US" w:eastAsia="zh-CN"/>
        </w:rPr>
        <w:t>当事人在采购上述酸菜、酸辣椒时</w:t>
      </w:r>
      <w:r>
        <w:rPr>
          <w:rFonts w:hint="eastAsia" w:ascii="仿宋_GB2312" w:hAnsi="仿宋_GB2312" w:eastAsia="仿宋_GB2312" w:cs="仿宋_GB2312"/>
          <w:color w:val="auto"/>
          <w:sz w:val="32"/>
          <w:szCs w:val="32"/>
          <w:u w:val="none"/>
          <w:lang w:val="en-US" w:eastAsia="zh-CN"/>
        </w:rPr>
        <w:t>未查验</w:t>
      </w:r>
      <w:r>
        <w:rPr>
          <w:rFonts w:hint="eastAsia" w:ascii="仿宋_GB2312" w:hAnsi="仿宋_GB2312" w:eastAsia="仿宋_GB2312" w:cs="仿宋_GB2312"/>
          <w:b w:val="0"/>
          <w:bCs w:val="0"/>
          <w:color w:val="auto"/>
          <w:sz w:val="32"/>
          <w:szCs w:val="32"/>
          <w:lang w:val="en-US" w:eastAsia="zh-CN"/>
        </w:rPr>
        <w:t>供货者的许可证，且当事人已经于2026年4月7日注销了营业执照。</w:t>
      </w:r>
    </w:p>
    <w:p w14:paraId="320AE161">
      <w:pPr>
        <w:keepNext w:val="0"/>
        <w:keepLines w:val="0"/>
        <w:pageBreakBefore w:val="0"/>
        <w:widowControl w:val="0"/>
        <w:kinsoku/>
        <w:wordWrap/>
        <w:overflowPunct/>
        <w:topLinePunct w:val="0"/>
        <w:autoSpaceDE/>
        <w:autoSpaceDN/>
        <w:bidi w:val="0"/>
        <w:snapToGrid/>
        <w:spacing w:line="480" w:lineRule="exact"/>
        <w:ind w:firstLine="640" w:firstLineChars="200"/>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上述事实，主要有以下证据证明：</w:t>
      </w:r>
    </w:p>
    <w:p w14:paraId="2ECC0911">
      <w:pPr>
        <w:keepNext w:val="0"/>
        <w:keepLines w:val="0"/>
        <w:pageBreakBefore w:val="0"/>
        <w:widowControl w:val="0"/>
        <w:kinsoku/>
        <w:wordWrap/>
        <w:overflowPunct/>
        <w:topLinePunct w:val="0"/>
        <w:autoSpaceDE/>
        <w:autoSpaceDN/>
        <w:bidi w:val="0"/>
        <w:snapToGrid/>
        <w:spacing w:line="480" w:lineRule="exact"/>
        <w:ind w:firstLine="640" w:firstLineChars="200"/>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w:t>
      </w:r>
      <w:r>
        <w:rPr>
          <w:rFonts w:hint="eastAsia" w:ascii="仿宋_GB2312" w:hAnsi="仿宋_GB2312" w:eastAsia="仿宋_GB2312" w:cs="仿宋_GB2312"/>
          <w:color w:val="auto"/>
          <w:sz w:val="32"/>
          <w:szCs w:val="32"/>
          <w:u w:val="none"/>
          <w:lang w:eastAsia="zh-CN"/>
        </w:rPr>
        <w:t>经营者身份证复印件</w:t>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lang w:eastAsia="zh-CN"/>
        </w:rPr>
        <w:t>份、</w:t>
      </w:r>
      <w:r>
        <w:rPr>
          <w:rFonts w:hint="eastAsia" w:ascii="仿宋_GB2312" w:hAnsi="仿宋_GB2312" w:eastAsia="仿宋_GB2312" w:cs="仿宋_GB2312"/>
          <w:color w:val="auto"/>
          <w:sz w:val="32"/>
          <w:szCs w:val="32"/>
          <w:u w:val="none"/>
          <w:lang w:eastAsia="zh-CN"/>
        </w:rPr>
        <w:t>广西智慧监管服务平台注销</w:t>
      </w:r>
      <w:r>
        <w:rPr>
          <w:rFonts w:hint="eastAsia" w:ascii="仿宋_GB2312" w:hAnsi="仿宋_GB2312" w:eastAsia="仿宋_GB2312" w:cs="仿宋_GB2312"/>
          <w:color w:val="auto"/>
          <w:sz w:val="32"/>
          <w:szCs w:val="32"/>
          <w:u w:val="none"/>
          <w:lang w:eastAsia="zh-CN"/>
        </w:rPr>
        <w:t>的截图，</w:t>
      </w:r>
      <w:r>
        <w:rPr>
          <w:rFonts w:hint="eastAsia" w:ascii="仿宋_GB2312" w:hAnsi="仿宋_GB2312" w:eastAsia="仿宋_GB2312" w:cs="仿宋_GB2312"/>
          <w:color w:val="auto"/>
          <w:sz w:val="32"/>
          <w:szCs w:val="32"/>
          <w:u w:val="none"/>
        </w:rPr>
        <w:t>证明</w:t>
      </w:r>
      <w:r>
        <w:rPr>
          <w:rFonts w:hint="eastAsia" w:ascii="仿宋_GB2312" w:hAnsi="仿宋_GB2312" w:eastAsia="仿宋_GB2312" w:cs="仿宋_GB2312"/>
          <w:color w:val="auto"/>
          <w:sz w:val="32"/>
          <w:szCs w:val="32"/>
          <w:u w:val="none"/>
          <w:lang w:eastAsia="zh-CN"/>
        </w:rPr>
        <w:t>当事人的</w:t>
      </w:r>
      <w:r>
        <w:rPr>
          <w:rFonts w:hint="eastAsia" w:ascii="仿宋_GB2312" w:hAnsi="仿宋_GB2312" w:eastAsia="仿宋_GB2312" w:cs="仿宋_GB2312"/>
          <w:color w:val="auto"/>
          <w:sz w:val="32"/>
          <w:szCs w:val="32"/>
          <w:u w:val="none"/>
        </w:rPr>
        <w:t>身份</w:t>
      </w:r>
      <w:r>
        <w:rPr>
          <w:rFonts w:hint="eastAsia" w:ascii="仿宋_GB2312" w:hAnsi="仿宋_GB2312" w:eastAsia="仿宋_GB2312" w:cs="仿宋_GB2312"/>
          <w:color w:val="auto"/>
          <w:sz w:val="32"/>
          <w:szCs w:val="32"/>
          <w:u w:val="none"/>
          <w:lang w:eastAsia="zh-CN"/>
        </w:rPr>
        <w:t>信息及</w:t>
      </w:r>
      <w:r>
        <w:rPr>
          <w:rFonts w:hint="eastAsia" w:ascii="仿宋_GB2312" w:hAnsi="仿宋_GB2312" w:eastAsia="仿宋_GB2312" w:cs="仿宋_GB2312"/>
          <w:color w:val="auto"/>
          <w:sz w:val="32"/>
          <w:szCs w:val="32"/>
          <w:u w:val="none"/>
          <w:lang w:val="en-US" w:eastAsia="zh-CN"/>
        </w:rPr>
        <w:t>当事人已经注销了营业执照</w:t>
      </w:r>
      <w:r>
        <w:rPr>
          <w:rFonts w:hint="eastAsia" w:ascii="仿宋_GB2312" w:hAnsi="仿宋_GB2312" w:eastAsia="仿宋_GB2312" w:cs="仿宋_GB2312"/>
          <w:color w:val="auto"/>
          <w:sz w:val="32"/>
          <w:szCs w:val="32"/>
          <w:u w:val="none"/>
          <w:lang w:eastAsia="zh-CN"/>
        </w:rPr>
        <w:t>。</w:t>
      </w:r>
    </w:p>
    <w:p w14:paraId="262FD644">
      <w:pPr>
        <w:keepNext w:val="0"/>
        <w:keepLines w:val="0"/>
        <w:pageBreakBefore w:val="0"/>
        <w:widowControl w:val="0"/>
        <w:kinsoku/>
        <w:wordWrap/>
        <w:overflowPunct/>
        <w:topLinePunct w:val="0"/>
        <w:autoSpaceDE/>
        <w:autoSpaceDN/>
        <w:bidi w:val="0"/>
        <w:snapToGrid/>
        <w:spacing w:line="480" w:lineRule="exact"/>
        <w:ind w:firstLine="640" w:firstLineChars="200"/>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.《现场笔录》1份，《询问笔录》1份，《食品安全抽样检验告知书》复印件1份，《食品安全抽样检验抽样单（非</w:t>
      </w:r>
      <w:r>
        <w:rPr>
          <w:rFonts w:hint="eastAsia" w:ascii="仿宋_GB2312" w:hAnsi="仿宋_GB2312" w:eastAsia="仿宋_GB2312" w:cs="仿宋_GB2312"/>
          <w:color w:val="auto"/>
          <w:sz w:val="32"/>
          <w:szCs w:val="32"/>
          <w:u w:val="none"/>
          <w:lang w:eastAsia="zh-CN"/>
        </w:rPr>
        <w:t>食用农产品</w:t>
      </w:r>
      <w:r>
        <w:rPr>
          <w:rFonts w:hint="eastAsia" w:ascii="仿宋_GB2312" w:hAnsi="仿宋_GB2312" w:eastAsia="仿宋_GB2312" w:cs="仿宋_GB2312"/>
          <w:color w:val="auto"/>
          <w:sz w:val="32"/>
          <w:szCs w:val="32"/>
          <w:u w:val="none"/>
        </w:rPr>
        <w:t>）》复印件</w:t>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份，《检验报告》</w:t>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份，《食品安全抽样检验结果通知书》1份，《证据提取单》</w:t>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份</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rPr>
        <w:t>证明</w:t>
      </w:r>
      <w:r>
        <w:rPr>
          <w:rFonts w:hint="eastAsia" w:ascii="仿宋_GB2312" w:hAnsi="仿宋_GB2312" w:eastAsia="仿宋_GB2312" w:cs="仿宋_GB2312"/>
          <w:color w:val="auto"/>
          <w:sz w:val="32"/>
          <w:szCs w:val="32"/>
          <w:u w:val="none"/>
          <w:lang w:eastAsia="zh-CN"/>
        </w:rPr>
        <w:t>当事人存在经营二氧化硫残留量</w:t>
      </w:r>
      <w:r>
        <w:rPr>
          <w:rFonts w:hint="eastAsia" w:ascii="仿宋_GB2312" w:hAnsi="仿宋_GB2312" w:eastAsia="仿宋_GB2312" w:cs="仿宋_GB2312"/>
          <w:color w:val="auto"/>
          <w:sz w:val="32"/>
          <w:szCs w:val="32"/>
          <w:u w:val="none"/>
        </w:rPr>
        <w:t>项目不符合GB 276</w:t>
      </w:r>
      <w:r>
        <w:rPr>
          <w:rFonts w:hint="eastAsia" w:ascii="仿宋_GB2312" w:hAnsi="仿宋_GB2312" w:eastAsia="仿宋_GB2312" w:cs="仿宋_GB2312"/>
          <w:color w:val="auto"/>
          <w:sz w:val="32"/>
          <w:szCs w:val="32"/>
          <w:u w:val="none"/>
          <w:lang w:val="en-US" w:eastAsia="zh-CN"/>
        </w:rPr>
        <w:t>0</w:t>
      </w:r>
      <w:r>
        <w:rPr>
          <w:rFonts w:hint="eastAsia" w:ascii="仿宋_GB2312" w:hAnsi="仿宋_GB2312" w:eastAsia="仿宋_GB2312" w:cs="仿宋_GB2312"/>
          <w:color w:val="auto"/>
          <w:sz w:val="32"/>
          <w:szCs w:val="32"/>
          <w:u w:val="none"/>
        </w:rPr>
        <w:t>-20</w:t>
      </w:r>
      <w:r>
        <w:rPr>
          <w:rFonts w:hint="eastAsia" w:ascii="仿宋_GB2312" w:hAnsi="仿宋_GB2312" w:eastAsia="仿宋_GB2312" w:cs="仿宋_GB2312"/>
          <w:color w:val="auto"/>
          <w:sz w:val="32"/>
          <w:szCs w:val="32"/>
          <w:u w:val="none"/>
          <w:lang w:val="en-US" w:eastAsia="zh-CN"/>
        </w:rPr>
        <w:t>24</w:t>
      </w:r>
      <w:r>
        <w:rPr>
          <w:rFonts w:hint="eastAsia" w:ascii="仿宋_GB2312" w:hAnsi="仿宋_GB2312" w:eastAsia="仿宋_GB2312" w:cs="仿宋_GB2312"/>
          <w:color w:val="auto"/>
          <w:sz w:val="32"/>
          <w:szCs w:val="32"/>
          <w:u w:val="none"/>
        </w:rPr>
        <w:t>《食品安全国家标准 食品</w:t>
      </w:r>
      <w:r>
        <w:rPr>
          <w:rFonts w:hint="eastAsia" w:ascii="仿宋_GB2312" w:hAnsi="仿宋_GB2312" w:eastAsia="仿宋_GB2312" w:cs="仿宋_GB2312"/>
          <w:color w:val="auto"/>
          <w:sz w:val="32"/>
          <w:szCs w:val="32"/>
          <w:u w:val="none"/>
          <w:lang w:eastAsia="zh-CN"/>
        </w:rPr>
        <w:t>添加剂使用标准</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要求</w:t>
      </w:r>
      <w:r>
        <w:rPr>
          <w:rFonts w:hint="eastAsia" w:ascii="仿宋_GB2312" w:hAnsi="仿宋_GB2312" w:eastAsia="仿宋_GB2312" w:cs="仿宋_GB2312"/>
          <w:color w:val="auto"/>
          <w:sz w:val="32"/>
          <w:szCs w:val="32"/>
          <w:u w:val="none"/>
          <w:lang w:val="en-US" w:eastAsia="zh-CN"/>
        </w:rPr>
        <w:t>的酸菜、酸辣椒</w:t>
      </w:r>
      <w:r>
        <w:rPr>
          <w:rFonts w:hint="eastAsia" w:ascii="仿宋_GB2312" w:hAnsi="仿宋_GB2312" w:eastAsia="仿宋_GB2312" w:cs="仿宋_GB2312"/>
          <w:color w:val="auto"/>
          <w:sz w:val="32"/>
          <w:szCs w:val="32"/>
          <w:u w:val="none"/>
          <w:lang w:eastAsia="zh-CN"/>
        </w:rPr>
        <w:t>的事实。</w:t>
      </w:r>
    </w:p>
    <w:p w14:paraId="0D190DC1">
      <w:pPr>
        <w:keepNext w:val="0"/>
        <w:keepLines w:val="0"/>
        <w:pageBreakBefore w:val="0"/>
        <w:widowControl w:val="0"/>
        <w:kinsoku/>
        <w:wordWrap/>
        <w:overflowPunct/>
        <w:topLinePunct w:val="0"/>
        <w:autoSpaceDE/>
        <w:autoSpaceDN/>
        <w:bidi w:val="0"/>
        <w:snapToGrid/>
        <w:spacing w:line="480" w:lineRule="exact"/>
        <w:ind w:firstLine="640" w:firstLineChars="200"/>
        <w:rPr>
          <w:rFonts w:hint="eastAsia" w:ascii="仿宋_GB2312" w:hAnsi="仿宋_GB2312" w:eastAsia="仿宋_GB2312" w:cs="仿宋_GB2312"/>
          <w:color w:val="auto"/>
          <w:sz w:val="32"/>
          <w:szCs w:val="32"/>
          <w:u w:val="none"/>
          <w:lang w:val="en-US"/>
        </w:rPr>
      </w:pP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测试报告</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，送货单</w:t>
      </w:r>
      <w:r>
        <w:rPr>
          <w:rFonts w:hint="eastAsia" w:ascii="仿宋_GB2312" w:hAnsi="仿宋_GB2312" w:eastAsia="仿宋_GB2312" w:cs="仿宋_GB2312"/>
          <w:color w:val="auto"/>
          <w:sz w:val="32"/>
          <w:szCs w:val="32"/>
          <w:u w:val="none"/>
        </w:rPr>
        <w:t>复印件1</w:t>
      </w:r>
      <w:r>
        <w:rPr>
          <w:rFonts w:hint="eastAsia" w:ascii="仿宋_GB2312" w:hAnsi="仿宋_GB2312" w:eastAsia="仿宋_GB2312" w:cs="仿宋_GB2312"/>
          <w:color w:val="auto"/>
          <w:sz w:val="32"/>
          <w:szCs w:val="32"/>
          <w:u w:val="none"/>
          <w:lang w:eastAsia="zh-CN"/>
        </w:rPr>
        <w:t>份</w:t>
      </w:r>
      <w:r>
        <w:rPr>
          <w:rFonts w:hint="eastAsia" w:ascii="仿宋_GB2312" w:hAnsi="仿宋_GB2312" w:eastAsia="仿宋_GB2312" w:cs="仿宋_GB2312"/>
          <w:color w:val="auto"/>
          <w:sz w:val="32"/>
          <w:szCs w:val="32"/>
          <w:u w:val="none"/>
        </w:rPr>
        <w:t>，进货台账复印件1份，证明当事人购进</w:t>
      </w:r>
      <w:r>
        <w:rPr>
          <w:rFonts w:hint="eastAsia" w:ascii="仿宋_GB2312" w:hAnsi="仿宋_GB2312" w:eastAsia="仿宋_GB2312" w:cs="仿宋_GB2312"/>
          <w:color w:val="auto"/>
          <w:sz w:val="32"/>
          <w:szCs w:val="32"/>
          <w:u w:val="none"/>
          <w:lang w:eastAsia="zh-CN"/>
        </w:rPr>
        <w:t>上述酸菜、酸辣椒</w:t>
      </w:r>
      <w:r>
        <w:rPr>
          <w:rFonts w:hint="eastAsia" w:ascii="仿宋_GB2312" w:hAnsi="仿宋_GB2312" w:eastAsia="仿宋_GB2312" w:cs="仿宋_GB2312"/>
          <w:color w:val="auto"/>
          <w:sz w:val="32"/>
          <w:szCs w:val="32"/>
          <w:u w:val="none"/>
        </w:rPr>
        <w:t>时</w:t>
      </w:r>
      <w:r>
        <w:rPr>
          <w:rFonts w:hint="eastAsia" w:ascii="仿宋_GB2312" w:hAnsi="仿宋_GB2312" w:eastAsia="仿宋_GB2312" w:cs="仿宋_GB2312"/>
          <w:color w:val="auto"/>
          <w:sz w:val="32"/>
          <w:szCs w:val="32"/>
          <w:u w:val="none"/>
          <w:lang w:val="en-US" w:eastAsia="zh-CN"/>
        </w:rPr>
        <w:t>未查验供货者的许可证的事实。</w:t>
      </w:r>
    </w:p>
    <w:p w14:paraId="58CE6CA1">
      <w:pPr>
        <w:keepNext w:val="0"/>
        <w:keepLines w:val="0"/>
        <w:pageBreakBefore w:val="0"/>
        <w:widowControl w:val="0"/>
        <w:kinsoku/>
        <w:wordWrap/>
        <w:overflowPunct/>
        <w:topLinePunct w:val="0"/>
        <w:autoSpaceDE/>
        <w:autoSpaceDN/>
        <w:bidi w:val="0"/>
        <w:snapToGrid/>
        <w:spacing w:line="480" w:lineRule="exact"/>
        <w:ind w:firstLine="640" w:firstLineChars="200"/>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以上证据均由</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签名认可</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bCs/>
          <w:color w:val="auto"/>
          <w:sz w:val="32"/>
          <w:szCs w:val="32"/>
          <w:u w:val="none"/>
          <w:lang w:eastAsia="zh-CN"/>
        </w:rPr>
        <w:t xml:space="preserve"> </w:t>
      </w:r>
      <w:r>
        <w:rPr>
          <w:rFonts w:hint="eastAsia" w:ascii="仿宋_GB2312" w:hAnsi="仿宋_GB2312" w:eastAsia="仿宋_GB2312" w:cs="仿宋_GB2312"/>
          <w:color w:val="auto"/>
          <w:sz w:val="32"/>
          <w:szCs w:val="32"/>
          <w:u w:val="none"/>
        </w:rPr>
        <w:t xml:space="preserve">       </w:t>
      </w:r>
    </w:p>
    <w:p w14:paraId="0DF34EB3">
      <w:pPr>
        <w:keepNext w:val="0"/>
        <w:keepLines w:val="0"/>
        <w:pageBreakBefore w:val="0"/>
        <w:widowControl w:val="0"/>
        <w:kinsoku/>
        <w:wordWrap/>
        <w:overflowPunct/>
        <w:topLinePunct w:val="0"/>
        <w:bidi w:val="0"/>
        <w:snapToGrid/>
        <w:spacing w:line="4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rPr>
        <w:t>我局向当事人送达了《行政处罚告知书》（柳北市监罚告〔202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rPr>
        <w:t>号），告知当事人我局拟作出行政处罚的事实、理由、依据、处罚内容及享有的权利。当事人在法定期限内未提出陈述、申辩。</w:t>
      </w:r>
    </w:p>
    <w:p w14:paraId="6629E321">
      <w:pPr>
        <w:pStyle w:val="2"/>
        <w:keepNext w:val="0"/>
        <w:keepLines w:val="0"/>
        <w:pageBreakBefore w:val="0"/>
        <w:widowControl w:val="0"/>
        <w:kinsoku/>
        <w:wordWrap/>
        <w:overflowPunct/>
        <w:topLinePunct w:val="0"/>
        <w:bidi w:val="0"/>
        <w:snapToGrid/>
        <w:spacing w:line="48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eastAsia="zh-CN"/>
        </w:rPr>
        <w:t>当事人</w:t>
      </w:r>
      <w:r>
        <w:rPr>
          <w:rFonts w:hint="eastAsia" w:ascii="仿宋_GB2312" w:hAnsi="仿宋_GB2312" w:eastAsia="仿宋_GB2312" w:cs="仿宋_GB2312"/>
          <w:color w:val="auto"/>
          <w:sz w:val="32"/>
          <w:szCs w:val="32"/>
        </w:rPr>
        <w:t>在采购上述</w:t>
      </w:r>
      <w:r>
        <w:rPr>
          <w:rFonts w:hint="eastAsia" w:ascii="仿宋_GB2312" w:hAnsi="仿宋_GB2312" w:eastAsia="仿宋_GB2312" w:cs="仿宋_GB2312"/>
          <w:color w:val="auto"/>
          <w:sz w:val="32"/>
          <w:szCs w:val="32"/>
          <w:lang w:eastAsia="zh-CN"/>
        </w:rPr>
        <w:t>酸菜、酸辣椒</w:t>
      </w:r>
      <w:r>
        <w:rPr>
          <w:rFonts w:hint="eastAsia" w:ascii="仿宋_GB2312" w:hAnsi="仿宋_GB2312" w:eastAsia="仿宋_GB2312" w:cs="仿宋_GB2312"/>
          <w:color w:val="auto"/>
          <w:sz w:val="32"/>
          <w:szCs w:val="32"/>
        </w:rPr>
        <w:t>时</w:t>
      </w:r>
      <w:r>
        <w:rPr>
          <w:rFonts w:hint="eastAsia" w:ascii="仿宋_GB2312" w:hAnsi="仿宋_GB2312" w:eastAsia="仿宋_GB2312" w:cs="仿宋_GB2312"/>
          <w:color w:val="auto"/>
          <w:sz w:val="32"/>
          <w:szCs w:val="32"/>
          <w:u w:val="none"/>
          <w:lang w:val="en-US" w:eastAsia="zh-CN"/>
        </w:rPr>
        <w:t>未查验</w:t>
      </w:r>
      <w:r>
        <w:rPr>
          <w:rFonts w:hint="eastAsia" w:ascii="仿宋_GB2312" w:hAnsi="仿宋_GB2312" w:eastAsia="仿宋_GB2312" w:cs="仿宋_GB2312"/>
          <w:b w:val="0"/>
          <w:bCs w:val="0"/>
          <w:color w:val="auto"/>
          <w:sz w:val="32"/>
          <w:szCs w:val="32"/>
          <w:lang w:val="en-US" w:eastAsia="zh-CN"/>
        </w:rPr>
        <w:t>供货者的许可证</w:t>
      </w:r>
      <w:r>
        <w:rPr>
          <w:rFonts w:hint="eastAsia" w:ascii="仿宋_GB2312" w:hAnsi="仿宋_GB2312" w:eastAsia="仿宋_GB2312" w:cs="仿宋_GB2312"/>
          <w:color w:val="auto"/>
          <w:sz w:val="32"/>
          <w:szCs w:val="32"/>
          <w:highlight w:val="none"/>
          <w:shd w:val="clear" w:color="auto" w:fill="auto"/>
          <w:lang w:val="en-US" w:eastAsia="zh-CN"/>
        </w:rPr>
        <w:t>的行为，</w:t>
      </w:r>
      <w:r>
        <w:rPr>
          <w:rFonts w:hint="eastAsia" w:ascii="仿宋_GB2312" w:hAnsi="仿宋_GB2312" w:eastAsia="仿宋_GB2312" w:cs="仿宋_GB2312"/>
          <w:color w:val="auto"/>
          <w:sz w:val="32"/>
          <w:szCs w:val="32"/>
          <w:u w:val="none"/>
          <w:lang w:eastAsia="zh-CN"/>
        </w:rPr>
        <w:t>违反了《中华人民共和国食品安全法》第五十三条</w:t>
      </w:r>
      <w:bookmarkStart w:id="3" w:name="tiao_53_kuan_1"/>
      <w:bookmarkEnd w:id="3"/>
      <w:r>
        <w:rPr>
          <w:rFonts w:hint="eastAsia" w:ascii="仿宋_GB2312" w:hAnsi="仿宋_GB2312" w:eastAsia="仿宋_GB2312" w:cs="仿宋_GB2312"/>
          <w:color w:val="auto"/>
          <w:sz w:val="32"/>
          <w:szCs w:val="32"/>
          <w:u w:val="none"/>
          <w:lang w:eastAsia="zh-CN"/>
        </w:rPr>
        <w:t>第一款的规定，属于未</w:t>
      </w:r>
      <w:r>
        <w:rPr>
          <w:rFonts w:hint="eastAsia" w:ascii="仿宋_GB2312" w:hAnsi="仿宋_GB2312" w:eastAsia="仿宋_GB2312" w:cs="仿宋_GB2312"/>
          <w:color w:val="auto"/>
          <w:sz w:val="32"/>
          <w:szCs w:val="32"/>
          <w:u w:val="none"/>
          <w:lang w:val="en-US" w:eastAsia="zh-CN"/>
        </w:rPr>
        <w:t>按规定</w:t>
      </w:r>
      <w:r>
        <w:rPr>
          <w:rFonts w:hint="eastAsia" w:ascii="仿宋_GB2312" w:hAnsi="仿宋_GB2312" w:eastAsia="仿宋_GB2312" w:cs="仿宋_GB2312"/>
          <w:color w:val="auto"/>
          <w:sz w:val="32"/>
          <w:szCs w:val="32"/>
          <w:u w:val="none"/>
          <w:lang w:eastAsia="zh-CN"/>
        </w:rPr>
        <w:t>履行进货查验义务的行为。</w:t>
      </w:r>
    </w:p>
    <w:p w14:paraId="2DEC9B7D">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u w:val="none"/>
          <w:lang w:eastAsia="zh-CN"/>
        </w:rPr>
        <w:t>当事人经营上</w:t>
      </w:r>
      <w:r>
        <w:rPr>
          <w:rFonts w:hint="eastAsia" w:ascii="仿宋_GB2312" w:hAnsi="仿宋_GB2312" w:eastAsia="仿宋_GB2312" w:cs="仿宋_GB2312"/>
          <w:color w:val="auto"/>
          <w:sz w:val="32"/>
          <w:szCs w:val="32"/>
          <w:u w:val="none"/>
          <w:lang w:val="en-US" w:eastAsia="zh-CN"/>
        </w:rPr>
        <w:t>述酸菜、酸辣椒</w:t>
      </w:r>
      <w:r>
        <w:rPr>
          <w:rFonts w:hint="eastAsia" w:ascii="仿宋_GB2312" w:hAnsi="仿宋_GB2312" w:eastAsia="仿宋_GB2312" w:cs="仿宋_GB2312"/>
          <w:color w:val="auto"/>
          <w:sz w:val="32"/>
          <w:szCs w:val="32"/>
          <w:u w:val="none"/>
          <w:lang w:eastAsia="zh-CN"/>
        </w:rPr>
        <w:t>的行为</w:t>
      </w:r>
      <w:r>
        <w:rPr>
          <w:rFonts w:hint="eastAsia" w:ascii="仿宋_GB2312" w:hAnsi="仿宋_GB2312" w:eastAsia="仿宋_GB2312" w:cs="仿宋_GB2312"/>
          <w:color w:val="auto"/>
          <w:sz w:val="32"/>
          <w:szCs w:val="32"/>
          <w:u w:val="none"/>
          <w:lang w:val="en-US" w:eastAsia="zh-CN"/>
        </w:rPr>
        <w:t>，违反了《中华人民共和国食品安全法》第三十四条第一款第四项</w:t>
      </w:r>
      <w:r>
        <w:rPr>
          <w:rFonts w:hint="eastAsia" w:ascii="仿宋_GB2312" w:hAnsi="仿宋_GB2312" w:eastAsia="仿宋_GB2312" w:cs="仿宋_GB2312"/>
          <w:color w:val="auto"/>
          <w:spacing w:val="0"/>
          <w:sz w:val="32"/>
          <w:szCs w:val="32"/>
          <w:u w:val="none"/>
          <w:lang w:val="en-US" w:eastAsia="zh-CN"/>
        </w:rPr>
        <w:t>的规定，属于经营超限</w:t>
      </w:r>
      <w:r>
        <w:rPr>
          <w:rFonts w:hint="eastAsia" w:ascii="仿宋_GB2312" w:hAnsi="仿宋_GB2312" w:eastAsia="仿宋_GB2312" w:cs="仿宋_GB2312"/>
          <w:color w:val="auto"/>
          <w:sz w:val="32"/>
          <w:szCs w:val="32"/>
          <w:u w:val="none"/>
          <w:lang w:val="en-US" w:eastAsia="zh-CN"/>
        </w:rPr>
        <w:t>量使用食品添加剂的食品</w:t>
      </w:r>
      <w:r>
        <w:rPr>
          <w:rFonts w:hint="eastAsia" w:ascii="仿宋_GB2312" w:hAnsi="仿宋_GB2312" w:eastAsia="仿宋_GB2312" w:cs="仿宋_GB2312"/>
          <w:color w:val="auto"/>
          <w:sz w:val="32"/>
          <w:szCs w:val="32"/>
          <w:u w:val="none"/>
        </w:rPr>
        <w:t>的行为。</w:t>
      </w:r>
      <w:r>
        <w:rPr>
          <w:rFonts w:hint="eastAsia" w:ascii="仿宋_GB2312" w:hAnsi="仿宋_GB2312" w:eastAsia="仿宋_GB2312" w:cs="仿宋_GB2312"/>
          <w:color w:val="auto"/>
          <w:kern w:val="2"/>
          <w:sz w:val="32"/>
          <w:szCs w:val="32"/>
          <w:highlight w:val="none"/>
          <w:u w:val="none"/>
          <w:lang w:val="en-US" w:eastAsia="zh-CN" w:bidi="ar-SA"/>
        </w:rPr>
        <w:t>本案货值金额54.38元，</w:t>
      </w:r>
      <w:r>
        <w:rPr>
          <w:rFonts w:hint="eastAsia" w:ascii="仿宋_GB2312" w:hAnsi="仿宋_GB2312" w:eastAsia="仿宋_GB2312" w:cs="仿宋_GB2312"/>
          <w:color w:val="auto"/>
          <w:sz w:val="32"/>
          <w:szCs w:val="32"/>
          <w:highlight w:val="none"/>
          <w:lang w:eastAsia="zh-CN"/>
        </w:rPr>
        <w:t>违法所得共计</w:t>
      </w:r>
      <w:r>
        <w:rPr>
          <w:rFonts w:hint="eastAsia" w:ascii="仿宋_GB2312" w:hAnsi="仿宋_GB2312" w:eastAsia="仿宋_GB2312" w:cs="仿宋_GB2312"/>
          <w:color w:val="auto"/>
          <w:sz w:val="32"/>
          <w:szCs w:val="32"/>
          <w:highlight w:val="none"/>
          <w:lang w:val="en-US" w:eastAsia="zh-CN"/>
        </w:rPr>
        <w:t>21.38元</w:t>
      </w:r>
      <w:r>
        <w:rPr>
          <w:rFonts w:hint="eastAsia" w:ascii="仿宋_GB2312" w:hAnsi="仿宋_GB2312" w:eastAsia="仿宋_GB2312" w:cs="仿宋_GB2312"/>
          <w:color w:val="auto"/>
          <w:sz w:val="32"/>
          <w:szCs w:val="32"/>
          <w:highlight w:val="none"/>
          <w:lang w:eastAsia="zh-CN"/>
        </w:rPr>
        <w:t>。</w:t>
      </w:r>
    </w:p>
    <w:p w14:paraId="44BBA99C">
      <w:pPr>
        <w:pStyle w:val="2"/>
        <w:keepNext w:val="0"/>
        <w:keepLines w:val="0"/>
        <w:pageBreakBefore w:val="0"/>
        <w:widowControl w:val="0"/>
        <w:kinsoku/>
        <w:wordWrap/>
        <w:overflowPunct/>
        <w:topLinePunct w:val="0"/>
        <w:autoSpaceDE w:val="0"/>
        <w:autoSpaceDN w:val="0"/>
        <w:bidi w:val="0"/>
        <w:adjustRightInd w:val="0"/>
        <w:snapToGrid/>
        <w:spacing w:line="4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lang w:val="en-US" w:eastAsia="zh-CN"/>
        </w:rPr>
        <w:t>当事人经营的上述</w:t>
      </w:r>
      <w:r>
        <w:rPr>
          <w:rFonts w:hint="eastAsia" w:ascii="仿宋_GB2312" w:hAnsi="仿宋_GB2312" w:eastAsia="仿宋_GB2312" w:cs="仿宋_GB2312"/>
          <w:color w:val="auto"/>
          <w:sz w:val="32"/>
          <w:szCs w:val="32"/>
          <w:lang w:eastAsia="zh-CN"/>
        </w:rPr>
        <w:t>酸菜、酸辣椒</w:t>
      </w:r>
      <w:r>
        <w:rPr>
          <w:rFonts w:hint="eastAsia" w:ascii="仿宋_GB2312" w:hAnsi="仿宋_GB2312" w:eastAsia="仿宋_GB2312" w:cs="仿宋_GB2312"/>
          <w:bCs/>
          <w:color w:val="auto"/>
          <w:sz w:val="32"/>
          <w:szCs w:val="32"/>
          <w:lang w:val="en-US" w:eastAsia="zh-CN"/>
        </w:rPr>
        <w:t>已售出但货值金额</w:t>
      </w:r>
      <w:r>
        <w:rPr>
          <w:rFonts w:hint="eastAsia" w:ascii="仿宋_GB2312" w:hAnsi="仿宋_GB2312" w:eastAsia="仿宋_GB2312" w:cs="仿宋_GB2312"/>
          <w:color w:val="auto"/>
          <w:sz w:val="32"/>
          <w:szCs w:val="32"/>
          <w:lang w:val="en-US" w:eastAsia="zh-CN"/>
        </w:rPr>
        <w:t>不足一千元</w:t>
      </w:r>
      <w:r>
        <w:rPr>
          <w:rFonts w:hint="eastAsia" w:ascii="仿宋_GB2312" w:hAnsi="仿宋_GB2312" w:eastAsia="仿宋_GB2312" w:cs="仿宋_GB2312"/>
          <w:bCs/>
          <w:color w:val="auto"/>
          <w:sz w:val="32"/>
          <w:szCs w:val="32"/>
          <w:lang w:val="en-US" w:eastAsia="zh-CN"/>
        </w:rPr>
        <w:t>，</w:t>
      </w:r>
      <w:r>
        <w:rPr>
          <w:rFonts w:hint="eastAsia" w:ascii="仿宋_GB2312" w:hAnsi="仿宋_GB2312" w:eastAsia="仿宋_GB2312" w:cs="仿宋_GB2312"/>
          <w:color w:val="auto"/>
          <w:sz w:val="32"/>
          <w:szCs w:val="32"/>
          <w:lang w:val="en-US" w:eastAsia="zh-CN"/>
        </w:rPr>
        <w:t>未造成食品安全事故等人身危害后果，</w:t>
      </w:r>
      <w:r>
        <w:rPr>
          <w:rFonts w:hint="eastAsia" w:ascii="仿宋_GB2312" w:hAnsi="仿宋_GB2312" w:eastAsia="仿宋_GB2312" w:cs="仿宋_GB2312"/>
          <w:bCs/>
          <w:color w:val="auto"/>
          <w:sz w:val="32"/>
          <w:szCs w:val="32"/>
          <w:lang w:val="en-US" w:eastAsia="zh-CN"/>
        </w:rPr>
        <w:t>且在案件调查过程中积极配合我局调查，如实陈述违法事实并主动提供相关证据材料，符合</w:t>
      </w:r>
      <w:r>
        <w:rPr>
          <w:rFonts w:hint="eastAsia" w:ascii="仿宋_GB2312" w:hAnsi="仿宋_GB2312" w:eastAsia="仿宋_GB2312" w:cs="仿宋_GB2312"/>
          <w:color w:val="auto"/>
          <w:sz w:val="32"/>
          <w:szCs w:val="32"/>
          <w:lang w:val="en-US" w:eastAsia="zh-CN"/>
        </w:rPr>
        <w:t>《广西壮族自治区市场监督管理行政处罚裁量基准（2023 版）》中《食品安全法》行政处罚裁量基准减轻处罚适用情形的规定，</w:t>
      </w:r>
      <w:r>
        <w:rPr>
          <w:rFonts w:hint="eastAsia" w:ascii="仿宋_GB2312" w:hAnsi="仿宋_GB2312" w:eastAsia="仿宋_GB2312" w:cs="仿宋_GB2312"/>
          <w:b w:val="0"/>
          <w:bCs w:val="0"/>
          <w:color w:val="auto"/>
          <w:kern w:val="2"/>
          <w:sz w:val="32"/>
          <w:szCs w:val="32"/>
          <w:lang w:val="en-US" w:eastAsia="zh-CN" w:bidi="ar-SA"/>
        </w:rPr>
        <w:t>具有《关于规范市场监督管理行政处罚裁量权的指导意见》第十四条第一款第二项规定的可以依法从轻或者减轻行政处罚的情形，依据《中华人民共和国行政处罚法》第五条、第六条的规定，我局</w:t>
      </w:r>
      <w:r>
        <w:rPr>
          <w:rFonts w:hint="eastAsia" w:ascii="仿宋_GB2312" w:hAnsi="仿宋_GB2312" w:eastAsia="仿宋_GB2312" w:cs="仿宋_GB2312"/>
          <w:b w:val="0"/>
          <w:bCs w:val="0"/>
          <w:color w:val="auto"/>
          <w:kern w:val="2"/>
          <w:sz w:val="32"/>
          <w:szCs w:val="32"/>
          <w:lang w:val="en-US" w:eastAsia="zh-CN" w:bidi="ar-SA"/>
        </w:rPr>
        <w:t>决定对</w:t>
      </w:r>
      <w:r>
        <w:rPr>
          <w:rFonts w:hint="eastAsia" w:ascii="仿宋_GB2312" w:hAnsi="仿宋_GB2312" w:eastAsia="仿宋_GB2312" w:cs="仿宋_GB2312"/>
          <w:b w:val="0"/>
          <w:bCs w:val="0"/>
          <w:color w:val="auto"/>
          <w:kern w:val="2"/>
          <w:sz w:val="32"/>
          <w:szCs w:val="32"/>
          <w:lang w:val="en-US" w:eastAsia="zh-CN" w:bidi="ar-SA"/>
        </w:rPr>
        <w:t>当事人减轻行政处罚。</w:t>
      </w:r>
    </w:p>
    <w:p w14:paraId="5453DD6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b w:val="0"/>
          <w:bCs w:val="0"/>
          <w:color w:val="auto"/>
          <w:sz w:val="32"/>
          <w:szCs w:val="32"/>
          <w:lang w:val="en-US" w:eastAsia="zh-CN"/>
        </w:rPr>
        <w:t>对于当事人</w:t>
      </w:r>
      <w:r>
        <w:rPr>
          <w:rFonts w:hint="eastAsia" w:ascii="仿宋_GB2312" w:hAnsi="仿宋_GB2312" w:eastAsia="仿宋_GB2312" w:cs="仿宋_GB2312"/>
          <w:color w:val="auto"/>
          <w:sz w:val="32"/>
          <w:szCs w:val="32"/>
        </w:rPr>
        <w:t>未按规定履行进货查验义务的行为</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b w:val="0"/>
          <w:bCs w:val="0"/>
          <w:color w:val="auto"/>
          <w:sz w:val="32"/>
          <w:szCs w:val="32"/>
          <w:lang w:val="en-US" w:eastAsia="zh-CN"/>
        </w:rPr>
        <w:t>依据</w:t>
      </w:r>
      <w:r>
        <w:rPr>
          <w:rFonts w:hint="eastAsia" w:ascii="仿宋_GB2312" w:hAnsi="仿宋_GB2312" w:eastAsia="仿宋_GB2312" w:cs="仿宋_GB2312"/>
          <w:b w:val="0"/>
          <w:bCs w:val="0"/>
          <w:color w:val="auto"/>
          <w:sz w:val="32"/>
          <w:szCs w:val="32"/>
          <w:lang w:eastAsia="zh-CN"/>
        </w:rPr>
        <w:t>《中华人民共和国食品安全法》第一百二十</w:t>
      </w:r>
      <w:r>
        <w:rPr>
          <w:rFonts w:hint="eastAsia" w:ascii="仿宋_GB2312" w:hAnsi="仿宋_GB2312" w:eastAsia="仿宋_GB2312" w:cs="仿宋_GB2312"/>
          <w:b w:val="0"/>
          <w:bCs w:val="0"/>
          <w:color w:val="auto"/>
          <w:sz w:val="32"/>
          <w:szCs w:val="32"/>
          <w:lang w:val="en-US" w:eastAsia="zh-CN"/>
        </w:rPr>
        <w:t>六</w:t>
      </w:r>
      <w:r>
        <w:rPr>
          <w:rFonts w:hint="eastAsia" w:ascii="仿宋_GB2312" w:hAnsi="仿宋_GB2312" w:eastAsia="仿宋_GB2312" w:cs="仿宋_GB2312"/>
          <w:b w:val="0"/>
          <w:bCs w:val="0"/>
          <w:color w:val="auto"/>
          <w:sz w:val="32"/>
          <w:szCs w:val="32"/>
          <w:lang w:eastAsia="zh-CN"/>
        </w:rPr>
        <w:t>条第</w:t>
      </w:r>
      <w:r>
        <w:rPr>
          <w:rFonts w:hint="eastAsia" w:ascii="仿宋_GB2312" w:hAnsi="仿宋_GB2312" w:eastAsia="仿宋_GB2312" w:cs="仿宋_GB2312"/>
          <w:color w:val="auto"/>
          <w:spacing w:val="0"/>
          <w:sz w:val="32"/>
          <w:szCs w:val="32"/>
          <w:lang w:val="en-US" w:eastAsia="zh-CN"/>
        </w:rPr>
        <w:t>一款</w:t>
      </w:r>
      <w:r>
        <w:rPr>
          <w:rFonts w:hint="eastAsia" w:ascii="仿宋_GB2312" w:hAnsi="仿宋_GB2312" w:eastAsia="仿宋_GB2312" w:cs="仿宋_GB2312"/>
          <w:color w:val="auto"/>
          <w:spacing w:val="0"/>
          <w:sz w:val="32"/>
          <w:szCs w:val="32"/>
          <w:lang w:val="en-US" w:eastAsia="zh-CN"/>
        </w:rPr>
        <w:t>第三项</w:t>
      </w:r>
      <w:r>
        <w:rPr>
          <w:rFonts w:hint="eastAsia" w:ascii="仿宋_GB2312" w:hAnsi="仿宋_GB2312" w:eastAsia="仿宋_GB2312" w:cs="仿宋_GB2312"/>
          <w:color w:val="auto"/>
          <w:spacing w:val="0"/>
          <w:sz w:val="32"/>
          <w:szCs w:val="32"/>
          <w:lang w:val="en-US" w:eastAsia="zh-CN"/>
        </w:rPr>
        <w:t>的规定，</w:t>
      </w:r>
      <w:r>
        <w:rPr>
          <w:rFonts w:hint="eastAsia" w:ascii="仿宋_GB2312" w:hAnsi="仿宋_GB2312" w:eastAsia="仿宋_GB2312" w:cs="仿宋_GB2312"/>
          <w:bCs/>
          <w:color w:val="auto"/>
          <w:sz w:val="32"/>
          <w:szCs w:val="32"/>
          <w:u w:val="none"/>
          <w:lang w:val="en-US" w:eastAsia="zh-CN"/>
        </w:rPr>
        <w:t>我局</w:t>
      </w:r>
      <w:r>
        <w:rPr>
          <w:rFonts w:hint="eastAsia" w:ascii="仿宋_GB2312" w:hAnsi="仿宋_GB2312" w:eastAsia="仿宋_GB2312" w:cs="仿宋_GB2312"/>
          <w:bCs/>
          <w:color w:val="auto"/>
          <w:sz w:val="32"/>
          <w:szCs w:val="32"/>
          <w:u w:val="none"/>
          <w:lang w:val="en-US" w:eastAsia="zh-CN"/>
        </w:rPr>
        <w:t>决定</w:t>
      </w:r>
      <w:r>
        <w:rPr>
          <w:rFonts w:hint="eastAsia" w:ascii="仿宋_GB2312" w:hAnsi="仿宋_GB2312" w:eastAsia="仿宋_GB2312" w:cs="仿宋_GB2312"/>
          <w:bCs/>
          <w:color w:val="auto"/>
          <w:sz w:val="32"/>
          <w:szCs w:val="32"/>
          <w:u w:val="none"/>
          <w:lang w:val="en-US" w:eastAsia="zh-CN"/>
        </w:rPr>
        <w:t>责令当事人立即改正</w:t>
      </w:r>
      <w:r>
        <w:rPr>
          <w:rFonts w:hint="eastAsia" w:ascii="仿宋_GB2312" w:hAnsi="仿宋_GB2312" w:eastAsia="仿宋_GB2312" w:cs="仿宋_GB2312"/>
          <w:color w:val="auto"/>
          <w:sz w:val="32"/>
          <w:szCs w:val="32"/>
          <w:lang w:eastAsia="zh-CN"/>
        </w:rPr>
        <w:t>该</w:t>
      </w:r>
      <w:r>
        <w:rPr>
          <w:rFonts w:hint="eastAsia" w:ascii="仿宋_GB2312" w:hAnsi="仿宋_GB2312" w:eastAsia="仿宋_GB2312" w:cs="仿宋_GB2312"/>
          <w:color w:val="auto"/>
          <w:sz w:val="32"/>
          <w:szCs w:val="32"/>
        </w:rPr>
        <w:t>违法行为</w:t>
      </w:r>
      <w:r>
        <w:rPr>
          <w:rFonts w:hint="eastAsia" w:ascii="仿宋_GB2312" w:hAnsi="仿宋_GB2312" w:eastAsia="仿宋_GB2312" w:cs="仿宋_GB2312"/>
          <w:bCs/>
          <w:color w:val="auto"/>
          <w:sz w:val="32"/>
          <w:szCs w:val="32"/>
          <w:u w:val="none"/>
          <w:lang w:val="en-US" w:eastAsia="zh-CN"/>
        </w:rPr>
        <w:t>，并给予警告的行政处罚。</w:t>
      </w:r>
    </w:p>
    <w:p w14:paraId="2198A8B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对于当事人</w:t>
      </w:r>
      <w:r>
        <w:rPr>
          <w:rFonts w:hint="eastAsia" w:ascii="仿宋_GB2312" w:hAnsi="仿宋_GB2312" w:eastAsia="仿宋_GB2312" w:cs="仿宋_GB2312"/>
          <w:b w:val="0"/>
          <w:bCs w:val="0"/>
          <w:color w:val="auto"/>
          <w:sz w:val="32"/>
          <w:szCs w:val="32"/>
          <w:lang w:eastAsia="zh-CN"/>
        </w:rPr>
        <w:t>经营超</w:t>
      </w:r>
      <w:r>
        <w:rPr>
          <w:rFonts w:hint="eastAsia" w:ascii="仿宋_GB2312" w:hAnsi="仿宋_GB2312" w:eastAsia="仿宋_GB2312" w:cs="仿宋_GB2312"/>
          <w:b w:val="0"/>
          <w:bCs w:val="0"/>
          <w:color w:val="auto"/>
          <w:sz w:val="32"/>
          <w:szCs w:val="32"/>
          <w:lang w:val="en-US" w:eastAsia="zh-CN"/>
        </w:rPr>
        <w:t>限量</w:t>
      </w:r>
      <w:r>
        <w:rPr>
          <w:rFonts w:hint="eastAsia" w:ascii="仿宋_GB2312" w:hAnsi="仿宋_GB2312" w:eastAsia="仿宋_GB2312" w:cs="仿宋_GB2312"/>
          <w:b w:val="0"/>
          <w:bCs w:val="0"/>
          <w:color w:val="auto"/>
          <w:sz w:val="32"/>
          <w:szCs w:val="32"/>
          <w:lang w:eastAsia="zh-CN"/>
        </w:rPr>
        <w:t>使用食品添加剂的食品</w:t>
      </w:r>
      <w:r>
        <w:rPr>
          <w:rFonts w:hint="eastAsia" w:ascii="仿宋_GB2312" w:hAnsi="仿宋_GB2312" w:eastAsia="仿宋_GB2312" w:cs="仿宋_GB2312"/>
          <w:b w:val="0"/>
          <w:bCs w:val="0"/>
          <w:color w:val="auto"/>
          <w:sz w:val="32"/>
          <w:szCs w:val="32"/>
          <w:lang w:val="en-US" w:eastAsia="zh-CN"/>
        </w:rPr>
        <w:t>的行为，依据</w:t>
      </w:r>
      <w:r>
        <w:rPr>
          <w:rFonts w:hint="eastAsia" w:ascii="仿宋_GB2312" w:hAnsi="仿宋_GB2312" w:eastAsia="仿宋_GB2312" w:cs="仿宋_GB2312"/>
          <w:b w:val="0"/>
          <w:bCs w:val="0"/>
          <w:color w:val="auto"/>
          <w:sz w:val="32"/>
          <w:szCs w:val="32"/>
          <w:lang w:eastAsia="zh-CN"/>
        </w:rPr>
        <w:t>《中华人民共和国食品安全法》第一百二十四条第一款第</w:t>
      </w:r>
      <w:r>
        <w:rPr>
          <w:rFonts w:hint="eastAsia" w:ascii="仿宋_GB2312" w:hAnsi="仿宋_GB2312" w:eastAsia="仿宋_GB2312" w:cs="仿宋_GB2312"/>
          <w:b w:val="0"/>
          <w:bCs w:val="0"/>
          <w:color w:val="auto"/>
          <w:sz w:val="32"/>
          <w:szCs w:val="32"/>
          <w:lang w:val="en-US" w:eastAsia="zh-CN"/>
        </w:rPr>
        <w:t>三</w:t>
      </w:r>
      <w:r>
        <w:rPr>
          <w:rFonts w:hint="eastAsia" w:ascii="仿宋_GB2312" w:hAnsi="仿宋_GB2312" w:eastAsia="仿宋_GB2312" w:cs="仿宋_GB2312"/>
          <w:b w:val="0"/>
          <w:bCs w:val="0"/>
          <w:color w:val="auto"/>
          <w:sz w:val="32"/>
          <w:szCs w:val="32"/>
          <w:lang w:eastAsia="zh-CN"/>
        </w:rPr>
        <w:t>项</w:t>
      </w:r>
      <w:r>
        <w:rPr>
          <w:rFonts w:hint="eastAsia" w:ascii="仿宋_GB2312" w:hAnsi="仿宋_GB2312" w:eastAsia="仿宋_GB2312" w:cs="仿宋_GB2312"/>
          <w:bCs/>
          <w:color w:val="auto"/>
          <w:sz w:val="32"/>
          <w:szCs w:val="32"/>
          <w:u w:val="none"/>
          <w:lang w:val="en-US" w:eastAsia="zh-CN"/>
        </w:rPr>
        <w:t>、《中华人民共和国行政处罚法》第二十八条第一款的规定，我局</w:t>
      </w:r>
      <w:r>
        <w:rPr>
          <w:rFonts w:hint="eastAsia" w:ascii="仿宋_GB2312" w:hAnsi="仿宋_GB2312" w:eastAsia="仿宋_GB2312" w:cs="仿宋_GB2312"/>
          <w:bCs/>
          <w:color w:val="auto"/>
          <w:sz w:val="32"/>
          <w:szCs w:val="32"/>
          <w:u w:val="none"/>
          <w:lang w:val="en-US" w:eastAsia="zh-CN"/>
        </w:rPr>
        <w:t>决定</w:t>
      </w:r>
      <w:r>
        <w:rPr>
          <w:rFonts w:hint="eastAsia" w:ascii="仿宋_GB2312" w:hAnsi="仿宋_GB2312" w:eastAsia="仿宋_GB2312" w:cs="仿宋_GB2312"/>
          <w:bCs/>
          <w:color w:val="auto"/>
          <w:sz w:val="32"/>
          <w:szCs w:val="32"/>
          <w:u w:val="none"/>
          <w:lang w:val="en-US" w:eastAsia="zh-CN"/>
        </w:rPr>
        <w:t>责令当事人</w:t>
      </w:r>
      <w:r>
        <w:rPr>
          <w:rFonts w:hint="eastAsia" w:ascii="仿宋_GB2312" w:hAnsi="仿宋_GB2312" w:eastAsia="仿宋_GB2312" w:cs="仿宋_GB2312"/>
          <w:color w:val="auto"/>
          <w:sz w:val="32"/>
          <w:szCs w:val="32"/>
          <w:u w:val="none"/>
          <w:lang w:val="en-US" w:eastAsia="zh-CN"/>
        </w:rPr>
        <w:t>立即改正该违法行为，并给予没收违法所得</w:t>
      </w:r>
      <w:r>
        <w:rPr>
          <w:rFonts w:hint="eastAsia" w:ascii="仿宋_GB2312" w:hAnsi="仿宋_GB2312" w:eastAsia="仿宋_GB2312" w:cs="仿宋_GB2312"/>
          <w:bCs/>
          <w:color w:val="auto"/>
          <w:sz w:val="32"/>
          <w:szCs w:val="32"/>
          <w:u w:val="none"/>
          <w:lang w:val="en-US" w:eastAsia="zh-CN"/>
        </w:rPr>
        <w:t>21.38</w:t>
      </w:r>
      <w:r>
        <w:rPr>
          <w:rFonts w:hint="eastAsia" w:ascii="仿宋_GB2312" w:hAnsi="仿宋_GB2312" w:eastAsia="仿宋_GB2312" w:cs="仿宋_GB2312"/>
          <w:color w:val="auto"/>
          <w:sz w:val="32"/>
          <w:szCs w:val="32"/>
          <w:u w:val="none"/>
          <w:lang w:val="en-US" w:eastAsia="zh-CN"/>
        </w:rPr>
        <w:t>元，并处以罚款1000元的行政处罚。</w:t>
      </w:r>
    </w:p>
    <w:p w14:paraId="6ECAB75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综上所述，我局</w:t>
      </w:r>
      <w:r>
        <w:rPr>
          <w:rFonts w:hint="eastAsia" w:ascii="仿宋_GB2312" w:hAnsi="仿宋_GB2312" w:eastAsia="仿宋_GB2312" w:cs="仿宋_GB2312"/>
          <w:bCs/>
          <w:color w:val="auto"/>
          <w:sz w:val="32"/>
          <w:szCs w:val="32"/>
          <w:u w:val="none"/>
          <w:lang w:val="en-US" w:eastAsia="zh-CN"/>
        </w:rPr>
        <w:t>决定</w:t>
      </w:r>
      <w:r>
        <w:rPr>
          <w:rFonts w:hint="eastAsia" w:ascii="仿宋_GB2312" w:hAnsi="仿宋_GB2312" w:eastAsia="仿宋_GB2312" w:cs="仿宋_GB2312"/>
          <w:bCs/>
          <w:color w:val="auto"/>
          <w:sz w:val="32"/>
          <w:szCs w:val="32"/>
          <w:u w:val="none"/>
          <w:lang w:val="en-US" w:eastAsia="zh-CN"/>
        </w:rPr>
        <w:t>责令当事人立即改正上述违法行为，并给予以下行政处罚：</w:t>
      </w:r>
    </w:p>
    <w:p w14:paraId="16B0999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1、警告；</w:t>
      </w:r>
    </w:p>
    <w:p w14:paraId="42F9905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2、没收违法所得</w:t>
      </w:r>
      <w:r>
        <w:rPr>
          <w:rFonts w:hint="eastAsia" w:ascii="仿宋_GB2312" w:hAnsi="仿宋_GB2312" w:eastAsia="仿宋_GB2312" w:cs="仿宋_GB2312"/>
          <w:color w:val="auto"/>
          <w:sz w:val="32"/>
          <w:szCs w:val="32"/>
          <w:u w:val="none"/>
          <w:lang w:val="en-US" w:eastAsia="zh-CN"/>
        </w:rPr>
        <w:t>21</w:t>
      </w:r>
      <w:r>
        <w:rPr>
          <w:rFonts w:hint="eastAsia" w:ascii="仿宋_GB2312" w:hAnsi="仿宋_GB2312" w:eastAsia="仿宋_GB2312" w:cs="仿宋_GB2312"/>
          <w:color w:val="auto"/>
          <w:sz w:val="32"/>
          <w:szCs w:val="32"/>
          <w:u w:val="none"/>
          <w:lang w:val="en-US" w:eastAsia="zh-CN"/>
        </w:rPr>
        <w:t>.38</w:t>
      </w:r>
      <w:r>
        <w:rPr>
          <w:rFonts w:hint="eastAsia" w:ascii="仿宋_GB2312" w:hAnsi="仿宋_GB2312" w:eastAsia="仿宋_GB2312" w:cs="仿宋_GB2312"/>
          <w:bCs/>
          <w:color w:val="auto"/>
          <w:sz w:val="32"/>
          <w:szCs w:val="32"/>
          <w:u w:val="none"/>
          <w:lang w:val="en-US" w:eastAsia="zh-CN"/>
        </w:rPr>
        <w:t>元；</w:t>
      </w:r>
    </w:p>
    <w:p w14:paraId="56D776B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3、罚款</w:t>
      </w:r>
      <w:r>
        <w:rPr>
          <w:rFonts w:hint="eastAsia" w:ascii="仿宋_GB2312" w:hAnsi="仿宋_GB2312" w:eastAsia="仿宋_GB2312" w:cs="仿宋_GB2312"/>
          <w:bCs/>
          <w:color w:val="auto"/>
          <w:sz w:val="32"/>
          <w:szCs w:val="32"/>
          <w:u w:val="none"/>
          <w:lang w:val="en-US" w:eastAsia="zh-CN"/>
        </w:rPr>
        <w:t>1</w:t>
      </w:r>
      <w:r>
        <w:rPr>
          <w:rFonts w:hint="eastAsia" w:ascii="仿宋_GB2312" w:hAnsi="仿宋_GB2312" w:eastAsia="仿宋_GB2312" w:cs="仿宋_GB2312"/>
          <w:bCs/>
          <w:color w:val="auto"/>
          <w:sz w:val="32"/>
          <w:szCs w:val="32"/>
          <w:u w:val="none"/>
          <w:lang w:val="en-US" w:eastAsia="zh-CN"/>
        </w:rPr>
        <w:t>000元。</w:t>
      </w:r>
    </w:p>
    <w:p w14:paraId="33691B2B">
      <w:pPr>
        <w:pStyle w:val="2"/>
        <w:keepNext w:val="0"/>
        <w:keepLines w:val="0"/>
        <w:pageBreakBefore w:val="0"/>
        <w:widowControl w:val="0"/>
        <w:kinsoku/>
        <w:wordWrap/>
        <w:overflowPunct/>
        <w:topLinePunct w:val="0"/>
        <w:bidi w:val="0"/>
        <w:snapToGrid/>
        <w:spacing w:line="4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u w:val="none"/>
          <w:lang w:val="en-US" w:eastAsia="zh-CN"/>
        </w:rPr>
        <w:t>上述罚没款合计1021.38元。</w:t>
      </w:r>
    </w:p>
    <w:p w14:paraId="74230F26">
      <w:pPr>
        <w:keepNext w:val="0"/>
        <w:keepLines w:val="0"/>
        <w:pageBreakBefore w:val="0"/>
        <w:widowControl w:val="0"/>
        <w:kinsoku/>
        <w:wordWrap/>
        <w:overflowPunct/>
        <w:topLinePunct w:val="0"/>
        <w:bidi w:val="0"/>
        <w:adjustRightInd w:val="0"/>
        <w:snapToGrid/>
        <w:spacing w:line="480" w:lineRule="exact"/>
        <w:ind w:left="-105" w:leftChars="-50" w:right="-105" w:rightChars="-50" w:firstLine="640" w:firstLineChars="200"/>
        <w:jc w:val="both"/>
        <w:textAlignment w:val="baseline"/>
        <w:outlineLvl w:val="9"/>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u w:val="none"/>
        </w:rPr>
        <w:t>当事人应当自收到本行政处罚决定书之日起十五日内，凭《广西壮族自治区非税收入电子缴款通知书》到中国建设银行缴纳</w:t>
      </w:r>
      <w:r>
        <w:rPr>
          <w:rFonts w:hint="eastAsia" w:ascii="仿宋_GB2312" w:hAnsi="仿宋_GB2312" w:eastAsia="仿宋_GB2312" w:cs="仿宋_GB2312"/>
          <w:bCs/>
          <w:color w:val="auto"/>
          <w:sz w:val="32"/>
          <w:szCs w:val="32"/>
          <w:u w:val="none"/>
          <w:lang w:eastAsia="zh-CN"/>
        </w:rPr>
        <w:t>上述款项</w:t>
      </w:r>
      <w:r>
        <w:rPr>
          <w:rFonts w:hint="eastAsia" w:ascii="仿宋_GB2312" w:hAnsi="仿宋_GB2312" w:eastAsia="仿宋_GB2312" w:cs="仿宋_GB2312"/>
          <w:bCs/>
          <w:color w:val="auto"/>
          <w:sz w:val="32"/>
          <w:szCs w:val="32"/>
          <w:u w:val="none"/>
        </w:rPr>
        <w:t>。逾期不缴纳罚款的，依据《中华人民共和国行政处罚法》第七十二条的规定，我局将每日按罚款数额的百分之三加处罚款，并依法申请人民法院强制执行。</w:t>
      </w:r>
    </w:p>
    <w:p w14:paraId="6121175E">
      <w:pPr>
        <w:keepNext w:val="0"/>
        <w:keepLines w:val="0"/>
        <w:pageBreakBefore w:val="0"/>
        <w:widowControl w:val="0"/>
        <w:kinsoku/>
        <w:wordWrap/>
        <w:overflowPunct/>
        <w:topLinePunct w:val="0"/>
        <w:bidi w:val="0"/>
        <w:adjustRightInd w:val="0"/>
        <w:snapToGrid/>
        <w:spacing w:line="480" w:lineRule="exact"/>
        <w:ind w:left="-105" w:leftChars="-50" w:right="-105" w:rightChars="-50" w:firstLine="640" w:firstLineChars="200"/>
        <w:jc w:val="both"/>
        <w:textAlignment w:val="baseline"/>
        <w:outlineLvl w:val="9"/>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u w:val="none"/>
        </w:rPr>
        <w:t>当事人如不服本行政处罚决定，可在接到本行政处罚决定书之日起六十日内向柳州市柳北区人民政府申请行政复议；也可以在</w:t>
      </w:r>
      <w:r>
        <w:rPr>
          <w:rFonts w:hint="eastAsia" w:ascii="仿宋_GB2312" w:hAnsi="仿宋_GB2312" w:eastAsia="仿宋_GB2312" w:cs="仿宋_GB2312"/>
          <w:bCs/>
          <w:color w:val="auto"/>
          <w:sz w:val="32"/>
          <w:szCs w:val="32"/>
          <w:u w:val="none"/>
          <w:lang w:eastAsia="zh-CN"/>
        </w:rPr>
        <w:t>六</w:t>
      </w:r>
      <w:r>
        <w:rPr>
          <w:rFonts w:hint="eastAsia" w:ascii="仿宋_GB2312" w:hAnsi="仿宋_GB2312" w:eastAsia="仿宋_GB2312" w:cs="仿宋_GB2312"/>
          <w:bCs/>
          <w:color w:val="auto"/>
          <w:sz w:val="32"/>
          <w:szCs w:val="32"/>
          <w:u w:val="none"/>
        </w:rPr>
        <w:t>个月内依法向柳州市柳南区人民法院提起行政诉讼。申请行政复议或者提起行政诉讼期间，行政处罚不停止执行。</w:t>
      </w:r>
    </w:p>
    <w:p w14:paraId="6B57E528">
      <w:pPr>
        <w:keepNext w:val="0"/>
        <w:keepLines w:val="0"/>
        <w:pageBreakBefore w:val="0"/>
        <w:widowControl w:val="0"/>
        <w:kinsoku/>
        <w:wordWrap/>
        <w:overflowPunct/>
        <w:topLinePunct w:val="0"/>
        <w:autoSpaceDE/>
        <w:autoSpaceDN/>
        <w:bidi w:val="0"/>
        <w:snapToGrid/>
        <w:spacing w:line="520" w:lineRule="exact"/>
        <w:ind w:firstLine="640" w:firstLineChars="200"/>
        <w:rPr>
          <w:rFonts w:hint="eastAsia" w:ascii="仿宋_GB2312" w:hAnsi="仿宋_GB2312" w:eastAsia="仿宋_GB2312" w:cs="仿宋_GB2312"/>
          <w:color w:val="auto"/>
          <w:sz w:val="32"/>
          <w:szCs w:val="32"/>
          <w:u w:val="none"/>
          <w:lang w:eastAsia="zh-CN"/>
        </w:rPr>
      </w:pPr>
    </w:p>
    <w:p w14:paraId="144C6D4D">
      <w:pPr>
        <w:pStyle w:val="2"/>
        <w:rPr>
          <w:rFonts w:hint="eastAsia" w:ascii="仿宋_GB2312" w:hAnsi="仿宋_GB2312" w:eastAsia="仿宋_GB2312" w:cs="仿宋_GB2312"/>
          <w:color w:val="auto"/>
          <w:sz w:val="32"/>
          <w:szCs w:val="32"/>
          <w:lang w:eastAsia="zh-CN"/>
        </w:rPr>
      </w:pPr>
    </w:p>
    <w:p w14:paraId="3183D5D0">
      <w:pPr>
        <w:keepNext w:val="0"/>
        <w:keepLines w:val="0"/>
        <w:pageBreakBefore w:val="0"/>
        <w:widowControl w:val="0"/>
        <w:kinsoku/>
        <w:wordWrap/>
        <w:overflowPunct/>
        <w:topLinePunct w:val="0"/>
        <w:autoSpaceDE/>
        <w:autoSpaceDN/>
        <w:bidi w:val="0"/>
        <w:snapToGrid/>
        <w:spacing w:line="560" w:lineRule="exact"/>
        <w:ind w:firstLine="4480" w:firstLineChars="1400"/>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柳州市柳北区市场监督管理局</w:t>
      </w:r>
    </w:p>
    <w:p w14:paraId="5E73A3BD">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lang w:eastAsia="zh-CN"/>
        </w:rPr>
        <w:t>202</w:t>
      </w:r>
      <w:r>
        <w:rPr>
          <w:rFonts w:hint="eastAsia" w:ascii="仿宋_GB2312" w:hAnsi="仿宋_GB2312" w:eastAsia="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lang w:eastAsia="zh-CN"/>
        </w:rPr>
        <w:t>年</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lang w:eastAsia="zh-CN"/>
        </w:rPr>
        <w:t>月</w:t>
      </w:r>
      <w:r>
        <w:rPr>
          <w:rFonts w:hint="eastAsia" w:ascii="仿宋_GB2312" w:hAnsi="仿宋_GB2312" w:eastAsia="仿宋_GB2312" w:cs="仿宋_GB2312"/>
          <w:color w:val="auto"/>
          <w:sz w:val="32"/>
          <w:szCs w:val="32"/>
          <w:u w:val="none"/>
          <w:lang w:val="en-US" w:eastAsia="zh-CN"/>
        </w:rPr>
        <w:t>21</w:t>
      </w:r>
      <w:r>
        <w:rPr>
          <w:rFonts w:hint="eastAsia" w:ascii="仿宋_GB2312" w:hAnsi="仿宋_GB2312" w:eastAsia="仿宋_GB2312" w:cs="仿宋_GB2312"/>
          <w:color w:val="auto"/>
          <w:sz w:val="32"/>
          <w:szCs w:val="32"/>
          <w:u w:val="none"/>
          <w:lang w:eastAsia="zh-CN"/>
        </w:rPr>
        <w:t>日</w:t>
      </w:r>
    </w:p>
    <w:p w14:paraId="1AC0D793">
      <w:pPr>
        <w:keepNext w:val="0"/>
        <w:keepLines w:val="0"/>
        <w:pageBreakBefore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color w:val="auto"/>
          <w:sz w:val="32"/>
          <w:szCs w:val="32"/>
          <w:u w:val="none"/>
          <w:lang w:eastAsia="zh-CN"/>
        </w:rPr>
      </w:pPr>
    </w:p>
    <w:p w14:paraId="54994704">
      <w:pPr>
        <w:pStyle w:val="2"/>
        <w:rPr>
          <w:rFonts w:hint="eastAsia" w:ascii="仿宋_GB2312" w:hAnsi="仿宋_GB2312" w:eastAsia="仿宋_GB2312" w:cs="仿宋_GB2312"/>
          <w:color w:val="auto"/>
          <w:sz w:val="32"/>
          <w:szCs w:val="32"/>
          <w:u w:val="none"/>
          <w:lang w:eastAsia="zh-CN"/>
        </w:rPr>
      </w:pPr>
    </w:p>
    <w:p w14:paraId="06D43F68">
      <w:pPr>
        <w:pStyle w:val="2"/>
        <w:rPr>
          <w:rFonts w:hint="eastAsia" w:ascii="仿宋_GB2312" w:hAnsi="仿宋_GB2312" w:eastAsia="仿宋_GB2312" w:cs="仿宋_GB2312"/>
          <w:color w:val="auto"/>
          <w:sz w:val="32"/>
          <w:szCs w:val="32"/>
          <w:u w:val="none"/>
          <w:lang w:eastAsia="zh-CN"/>
        </w:rPr>
      </w:pPr>
    </w:p>
    <w:p w14:paraId="2BE96C05">
      <w:pPr>
        <w:pStyle w:val="2"/>
        <w:rPr>
          <w:rFonts w:hint="eastAsia" w:ascii="仿宋_GB2312" w:hAnsi="仿宋_GB2312" w:eastAsia="仿宋_GB2312" w:cs="仿宋_GB2312"/>
          <w:color w:val="auto"/>
          <w:sz w:val="32"/>
          <w:szCs w:val="32"/>
          <w:u w:val="none"/>
          <w:lang w:eastAsia="zh-CN"/>
        </w:rPr>
      </w:pPr>
    </w:p>
    <w:p w14:paraId="5585DF15">
      <w:pPr>
        <w:pStyle w:val="2"/>
        <w:rPr>
          <w:rFonts w:hint="eastAsia" w:ascii="仿宋_GB2312" w:hAnsi="仿宋_GB2312" w:eastAsia="仿宋_GB2312" w:cs="仿宋_GB2312"/>
          <w:color w:val="auto"/>
          <w:sz w:val="32"/>
          <w:szCs w:val="32"/>
          <w:u w:val="none"/>
          <w:lang w:eastAsia="zh-CN"/>
        </w:rPr>
      </w:pPr>
    </w:p>
    <w:p w14:paraId="30DBB18E">
      <w:pPr>
        <w:pStyle w:val="2"/>
        <w:rPr>
          <w:rFonts w:hint="eastAsia" w:ascii="仿宋_GB2312" w:hAnsi="仿宋_GB2312" w:eastAsia="仿宋_GB2312" w:cs="仿宋_GB2312"/>
          <w:color w:val="auto"/>
          <w:sz w:val="32"/>
          <w:szCs w:val="32"/>
          <w:u w:val="none"/>
          <w:lang w:eastAsia="zh-CN"/>
        </w:rPr>
      </w:pPr>
    </w:p>
    <w:p w14:paraId="477982D7">
      <w:pPr>
        <w:pStyle w:val="2"/>
        <w:rPr>
          <w:rFonts w:hint="eastAsia" w:ascii="仿宋_GB2312" w:hAnsi="仿宋_GB2312" w:eastAsia="仿宋_GB2312" w:cs="仿宋_GB2312"/>
          <w:color w:val="auto"/>
          <w:sz w:val="32"/>
          <w:szCs w:val="32"/>
          <w:u w:val="none"/>
          <w:lang w:eastAsia="zh-CN"/>
        </w:rPr>
      </w:pPr>
    </w:p>
    <w:p w14:paraId="3148A4AD">
      <w:pPr>
        <w:pStyle w:val="2"/>
        <w:rPr>
          <w:rFonts w:hint="eastAsia" w:ascii="仿宋_GB2312" w:hAnsi="仿宋_GB2312" w:eastAsia="仿宋_GB2312" w:cs="仿宋_GB2312"/>
          <w:color w:val="auto"/>
          <w:sz w:val="32"/>
          <w:szCs w:val="32"/>
          <w:u w:val="none"/>
          <w:lang w:eastAsia="zh-CN"/>
        </w:rPr>
      </w:pPr>
    </w:p>
    <w:p w14:paraId="4C8764C2">
      <w:pPr>
        <w:pStyle w:val="2"/>
        <w:rPr>
          <w:rFonts w:hint="eastAsia" w:ascii="仿宋_GB2312" w:hAnsi="仿宋_GB2312" w:eastAsia="仿宋_GB2312" w:cs="仿宋_GB2312"/>
          <w:color w:val="auto"/>
          <w:sz w:val="32"/>
          <w:szCs w:val="32"/>
          <w:u w:val="none"/>
          <w:lang w:eastAsia="zh-CN"/>
        </w:rPr>
      </w:pPr>
    </w:p>
    <w:p w14:paraId="6CE60A6A">
      <w:pPr>
        <w:pStyle w:val="2"/>
        <w:rPr>
          <w:rFonts w:hint="eastAsia" w:ascii="仿宋_GB2312" w:hAnsi="仿宋_GB2312" w:eastAsia="仿宋_GB2312" w:cs="仿宋_GB2312"/>
          <w:color w:val="auto"/>
          <w:sz w:val="32"/>
          <w:szCs w:val="32"/>
          <w:u w:val="none"/>
          <w:lang w:eastAsia="zh-CN"/>
        </w:rPr>
      </w:pPr>
    </w:p>
    <w:p w14:paraId="0D083DBB">
      <w:pPr>
        <w:pStyle w:val="2"/>
        <w:rPr>
          <w:rFonts w:hint="eastAsia" w:ascii="仿宋_GB2312" w:hAnsi="仿宋_GB2312" w:eastAsia="仿宋_GB2312" w:cs="仿宋_GB2312"/>
          <w:color w:val="auto"/>
          <w:sz w:val="32"/>
          <w:szCs w:val="32"/>
          <w:u w:val="none"/>
          <w:lang w:eastAsia="zh-CN"/>
        </w:rPr>
      </w:pPr>
    </w:p>
    <w:p w14:paraId="2800456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78D73153">
      <w:pPr>
        <w:pStyle w:val="4"/>
        <w:spacing w:before="1"/>
        <w:rPr>
          <w:rFonts w:hint="eastAsia" w:ascii="仿宋_GB2312" w:hAnsi="仿宋_GB2312" w:eastAsia="仿宋_GB2312" w:cs="仿宋_GB2312"/>
          <w:color w:val="auto"/>
          <w:sz w:val="32"/>
          <w:szCs w:val="32"/>
        </w:rPr>
      </w:pPr>
      <w:r>
        <w:rPr>
          <w:rFonts w:hint="eastAsia" w:ascii="黑体" w:hAnsi="黑体" w:eastAsia="黑体"/>
          <w:color w:val="auto"/>
          <w:spacing w:val="-16"/>
          <w:sz w:val="32"/>
          <w:szCs w:val="32"/>
          <w:u w:val="none"/>
        </w:rPr>
        <w:t>（市场监督管理部门将依法向社会公开行政处罚决定信息）</w:t>
      </w:r>
    </w:p>
    <w:p w14:paraId="026887B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1" name="直线 2"/>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1.1pt;margin-top:5.95pt;height:0.05pt;width:433.5pt;z-index:251659264;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DcCeboAQAA3QMAAA4AAABkcnMvZTJvRG9jLnhtbK1TS44TMRDd&#10;I3EHy3vSSaBH0EpnFhOGDYJIDAeo2O5uS/7J5aSTs3ANVmw4zlyDsjtkYNhkQS/cZdfzc71X9ur2&#10;aA07qIjau5YvZnPOlBNeate3/OvD/au3nGECJ8F4p1p+Ushv1y9frMbQqKUfvJEqMiJx2Iyh5UNK&#10;oakqFIOygDMflKNk56OFRNPYVzLCSOzWVMv5/KYafZQheqEQaXUzJfmZMV5D6LtOC7XxYm+VSxNr&#10;VAYSScJBB+TrUm3XKZE+dx2qxEzLSWkqIx1C8S6P1XoFTR8hDFqcS4BrSnimyYJ2dOiFagMJ2D7q&#10;f6isFtGj79JMeFtNQoojpGIxf+bNlwGCKlrIagwX0/H/0YpPh21kWtJN4MyBpYY/fvv++OMnW2Zv&#10;xoANQe7cNp5nGLYxCz120eY/SWDH4ufp4qc6JiZosa7n9ZuarBaUu3ldZ8bqaWuImD4ob1kOWm60&#10;y2KhgcNHTBP0NyQvG8fGlr+rlzURAt28jjpOoQ1UPbq+7EVvtLzXxuQdGPvdnYnsALn75TuX8Bcs&#10;H7IBHCZcSWUYNIMC+d5Jlk6BfHH0HHguwSrJmVH0enJUkAm0uQZJ6o0jE7Kvk5M52nl5oi7sQ9T9&#10;QE4sSpU5Q10vlp1vaL5Wf84L09OrXP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8A8otMAAAAH&#10;AQAADwAAAAAAAAABACAAAAAiAAAAZHJzL2Rvd25yZXYueG1sUEsBAhQAFAAAAAgAh07iQLDcCebo&#10;AQAA3QMAAA4AAAAAAAAAAQAgAAAAIgEAAGRycy9lMm9Eb2MueG1sUEsFBgAAAAAGAAYAWQEAAHwF&#10;A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2" name="直线 3"/>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pt;margin-top:5.95pt;height:0.05pt;width:433.5pt;z-index:251660288;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K5w4C7oAQAA3QMAAA4AAABkcnMvZTJvRG9jLnhtbK1TS44TMRDd&#10;I3EHy3vSSYYeQSudWUwYNggiAQeo2O5uS/7J5aSTs3ANVmw4zlyDsjtkYNhkQS/cZdfzc71X9uru&#10;aA07qIjau5YvZnPOlBNeate3/OuXh1dvOMMEToLxTrX8pJDfrV++WI2hUUs/eCNVZETisBlDy4eU&#10;QlNVKAZlAWc+KEfJzkcLiaaxr2SEkditqZbz+W01+ihD9EIh0upmSvIzY7yG0HedFmrjxd4qlybW&#10;qAwkkoSDDsjXpdquUyJ96jpUiZmWk9JURjqE4l0eq/UKmj5CGLQ4lwDXlPBMkwXt6NAL1QYSsH3U&#10;/1BZLaJH36WZ8LaahBRHSMVi/sybzwMEVbSQ1RgupuP/oxUfD9vItGz5kjMHlhr++O3744+f7CZ7&#10;MwZsCHLvtvE8w7CNWeixizb/SQI7Fj9PFz/VMTFBi3U9r1/XZLWg3O1NnRmrp60hYnqvvGU5aLnR&#10;LouFBg4fME3Q35C8bBwbW/62XtZECHTzOuo4hTZQ9ej6she90fJBG5N3YOx39yayA+Tul+9cwl+w&#10;fMgGcJhwJZVh0AwK5DsnWToF8sXRc+C5BKskZ0bR68lRQSbQ5hokqTeOTMi+Tk7maOflibqwD1H3&#10;AzmxKFXmDHW9WHa+ofla/TkvTE+vcv0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8A8otMAAAAH&#10;AQAADwAAAAAAAAABACAAAAAiAAAAZHJzL2Rvd25yZXYueG1sUEsBAhQAFAAAAAgAh07iQK5w4C7o&#10;AQAA3QMAAA4AAAAAAAAAAQAgAAAAIgEAAGRycy9lMm9Eb2MueG1sUEsFBgAAAAAGAAYAWQEAAHwF&#10;A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rPr>
        <w:t>本文书一式三份，一份送达，一份归档，一份办案机构留存。</w:t>
      </w:r>
    </w:p>
    <w:bookmarkEnd w:id="4"/>
    <w:sectPr>
      <w:headerReference r:id="rId3" w:type="default"/>
      <w:footerReference r:id="rId4" w:type="default"/>
      <w:pgSz w:w="11906" w:h="16838"/>
      <w:pgMar w:top="1417" w:right="1417" w:bottom="1417" w:left="1417" w:header="851"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方正仿宋_GB2312">
    <w:altName w:val="仿宋"/>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6796E">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BEC76F5">
                          <w:pPr>
                            <w:pStyle w:val="5"/>
                            <w:rPr>
                              <w:rFonts w:eastAsia="宋体"/>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X96c4AgAAb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jpYV++r&#10;7gGm0LKw1Q+WxzRRKm9XhwBpk+JRoE4VdCoeMIepZ/3OxEH/85yinv4nlo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rJf3pzgCAABvBAAADgAAAAAAAAABACAAAAAfAQAAZHJzL2Uyb0RvYy54&#10;bWxQSwUGAAAAAAYABgBZAQAAyQUAAAAA&#10;">
              <v:fill on="f" focussize="0,0"/>
              <v:stroke on="f" weight="0.5pt"/>
              <v:imagedata o:title=""/>
              <o:lock v:ext="edit" aspectratio="f"/>
              <v:textbox inset="0mm,0mm,0mm,0mm" style="mso-fit-shape-to-text:t;">
                <w:txbxContent>
                  <w:p w14:paraId="2BEC76F5">
                    <w:pPr>
                      <w:pStyle w:val="5"/>
                      <w:rPr>
                        <w:rFonts w:eastAsia="宋体"/>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1D45E">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mI1NmM0NTFmZTU5ZDUyNjZiMTM4MjRlMDJmYTcifQ=="/>
  </w:docVars>
  <w:rsids>
    <w:rsidRoot w:val="009F3D20"/>
    <w:rsid w:val="00043595"/>
    <w:rsid w:val="00452D7A"/>
    <w:rsid w:val="00571EF1"/>
    <w:rsid w:val="005C29E1"/>
    <w:rsid w:val="00615BC7"/>
    <w:rsid w:val="009536D0"/>
    <w:rsid w:val="009F3D20"/>
    <w:rsid w:val="00A846EF"/>
    <w:rsid w:val="00B84D6A"/>
    <w:rsid w:val="00F92F9B"/>
    <w:rsid w:val="01F70EC8"/>
    <w:rsid w:val="01F82284"/>
    <w:rsid w:val="01FC2F87"/>
    <w:rsid w:val="02076F1C"/>
    <w:rsid w:val="026B1786"/>
    <w:rsid w:val="028D45DD"/>
    <w:rsid w:val="02FC3343"/>
    <w:rsid w:val="05654966"/>
    <w:rsid w:val="05AA3F3C"/>
    <w:rsid w:val="07485E01"/>
    <w:rsid w:val="07893761"/>
    <w:rsid w:val="08B700B5"/>
    <w:rsid w:val="09183D69"/>
    <w:rsid w:val="09483348"/>
    <w:rsid w:val="0A3930ED"/>
    <w:rsid w:val="0BAD4BBE"/>
    <w:rsid w:val="0C395C40"/>
    <w:rsid w:val="0C4D48D6"/>
    <w:rsid w:val="0C8C699B"/>
    <w:rsid w:val="0D39103F"/>
    <w:rsid w:val="0D5E59FB"/>
    <w:rsid w:val="0E322633"/>
    <w:rsid w:val="0F610C24"/>
    <w:rsid w:val="10441FEF"/>
    <w:rsid w:val="10A95968"/>
    <w:rsid w:val="10B416E8"/>
    <w:rsid w:val="10D33DA9"/>
    <w:rsid w:val="113B358D"/>
    <w:rsid w:val="12732933"/>
    <w:rsid w:val="12A7643B"/>
    <w:rsid w:val="13E37991"/>
    <w:rsid w:val="14393F99"/>
    <w:rsid w:val="14D80741"/>
    <w:rsid w:val="15EF7F09"/>
    <w:rsid w:val="16613333"/>
    <w:rsid w:val="16D75E7E"/>
    <w:rsid w:val="17441287"/>
    <w:rsid w:val="195F080A"/>
    <w:rsid w:val="1961210E"/>
    <w:rsid w:val="1B0B1E6A"/>
    <w:rsid w:val="1BB6133F"/>
    <w:rsid w:val="1D245D5D"/>
    <w:rsid w:val="1D522787"/>
    <w:rsid w:val="1D680EB6"/>
    <w:rsid w:val="1DD7389A"/>
    <w:rsid w:val="1E183650"/>
    <w:rsid w:val="1E206EF9"/>
    <w:rsid w:val="1FBA6F24"/>
    <w:rsid w:val="21931DA4"/>
    <w:rsid w:val="22384D53"/>
    <w:rsid w:val="22A73156"/>
    <w:rsid w:val="22E70AD5"/>
    <w:rsid w:val="234E5EC7"/>
    <w:rsid w:val="23736492"/>
    <w:rsid w:val="24E60E96"/>
    <w:rsid w:val="256E4F3B"/>
    <w:rsid w:val="25D02FFD"/>
    <w:rsid w:val="26082373"/>
    <w:rsid w:val="26197F8E"/>
    <w:rsid w:val="2668072F"/>
    <w:rsid w:val="26823265"/>
    <w:rsid w:val="268F0567"/>
    <w:rsid w:val="270D266F"/>
    <w:rsid w:val="27D0185E"/>
    <w:rsid w:val="27F23097"/>
    <w:rsid w:val="29AC6D87"/>
    <w:rsid w:val="29B042F2"/>
    <w:rsid w:val="2A133007"/>
    <w:rsid w:val="2BA927A8"/>
    <w:rsid w:val="2BB0441F"/>
    <w:rsid w:val="2BF23E07"/>
    <w:rsid w:val="2C6B1CD2"/>
    <w:rsid w:val="2C86162C"/>
    <w:rsid w:val="2E4E09C5"/>
    <w:rsid w:val="2F6E4C4A"/>
    <w:rsid w:val="30872FD9"/>
    <w:rsid w:val="31784BB8"/>
    <w:rsid w:val="324E3917"/>
    <w:rsid w:val="32755D55"/>
    <w:rsid w:val="32AC3CB0"/>
    <w:rsid w:val="33421C25"/>
    <w:rsid w:val="34630033"/>
    <w:rsid w:val="34E50327"/>
    <w:rsid w:val="35653FF3"/>
    <w:rsid w:val="38CB7909"/>
    <w:rsid w:val="39D03A68"/>
    <w:rsid w:val="3AE138A5"/>
    <w:rsid w:val="3CE619FC"/>
    <w:rsid w:val="3D38727D"/>
    <w:rsid w:val="3E8B6FD2"/>
    <w:rsid w:val="3E9F12F5"/>
    <w:rsid w:val="3F071A76"/>
    <w:rsid w:val="3F3B4CE0"/>
    <w:rsid w:val="3FF55E7C"/>
    <w:rsid w:val="40F65402"/>
    <w:rsid w:val="4158650E"/>
    <w:rsid w:val="418E5F9D"/>
    <w:rsid w:val="41A84E5D"/>
    <w:rsid w:val="42390634"/>
    <w:rsid w:val="425F056A"/>
    <w:rsid w:val="4565724F"/>
    <w:rsid w:val="461375FF"/>
    <w:rsid w:val="463C09B7"/>
    <w:rsid w:val="46774357"/>
    <w:rsid w:val="48636ED0"/>
    <w:rsid w:val="48E847B0"/>
    <w:rsid w:val="49FA1891"/>
    <w:rsid w:val="4A626995"/>
    <w:rsid w:val="4A9948F1"/>
    <w:rsid w:val="4AC7413B"/>
    <w:rsid w:val="4B94000C"/>
    <w:rsid w:val="4BC26F8A"/>
    <w:rsid w:val="4BD77026"/>
    <w:rsid w:val="4DE3562F"/>
    <w:rsid w:val="4F090195"/>
    <w:rsid w:val="4F533461"/>
    <w:rsid w:val="508A03B5"/>
    <w:rsid w:val="50BE2D36"/>
    <w:rsid w:val="5250634A"/>
    <w:rsid w:val="532838FB"/>
    <w:rsid w:val="538C361F"/>
    <w:rsid w:val="53F342C8"/>
    <w:rsid w:val="545A4F71"/>
    <w:rsid w:val="54B6568B"/>
    <w:rsid w:val="551F368B"/>
    <w:rsid w:val="552733C1"/>
    <w:rsid w:val="557F50D4"/>
    <w:rsid w:val="55C21041"/>
    <w:rsid w:val="55F23D8E"/>
    <w:rsid w:val="5778511F"/>
    <w:rsid w:val="578C1931"/>
    <w:rsid w:val="588E49D7"/>
    <w:rsid w:val="58D31652"/>
    <w:rsid w:val="592669D7"/>
    <w:rsid w:val="595D0E79"/>
    <w:rsid w:val="5A1D2B64"/>
    <w:rsid w:val="5C0D3694"/>
    <w:rsid w:val="5C48772A"/>
    <w:rsid w:val="5DE7144B"/>
    <w:rsid w:val="5E7F0087"/>
    <w:rsid w:val="60E61309"/>
    <w:rsid w:val="60ED7647"/>
    <w:rsid w:val="6124468E"/>
    <w:rsid w:val="61B009D1"/>
    <w:rsid w:val="61C95E6C"/>
    <w:rsid w:val="620C5868"/>
    <w:rsid w:val="6295473C"/>
    <w:rsid w:val="63F03B60"/>
    <w:rsid w:val="641E1DD0"/>
    <w:rsid w:val="65102E3B"/>
    <w:rsid w:val="66D73F68"/>
    <w:rsid w:val="67202D1E"/>
    <w:rsid w:val="67A253FA"/>
    <w:rsid w:val="68614B44"/>
    <w:rsid w:val="690A2603"/>
    <w:rsid w:val="69BF1A0C"/>
    <w:rsid w:val="6C5136FF"/>
    <w:rsid w:val="6EA23008"/>
    <w:rsid w:val="6F22777A"/>
    <w:rsid w:val="6F802F33"/>
    <w:rsid w:val="6FAD1747"/>
    <w:rsid w:val="6FC82564"/>
    <w:rsid w:val="7062076F"/>
    <w:rsid w:val="70D0347E"/>
    <w:rsid w:val="728269FA"/>
    <w:rsid w:val="72C26D78"/>
    <w:rsid w:val="72E21289"/>
    <w:rsid w:val="734844B1"/>
    <w:rsid w:val="73E42131"/>
    <w:rsid w:val="746B0D8E"/>
    <w:rsid w:val="74E62C58"/>
    <w:rsid w:val="754F1B06"/>
    <w:rsid w:val="75C12655"/>
    <w:rsid w:val="75C56285"/>
    <w:rsid w:val="75D44E39"/>
    <w:rsid w:val="75D85A64"/>
    <w:rsid w:val="767223DF"/>
    <w:rsid w:val="778925D9"/>
    <w:rsid w:val="783C2CCF"/>
    <w:rsid w:val="7A322327"/>
    <w:rsid w:val="7A443E88"/>
    <w:rsid w:val="7A726172"/>
    <w:rsid w:val="7ADD3799"/>
    <w:rsid w:val="7B3F45C1"/>
    <w:rsid w:val="7B8E01BE"/>
    <w:rsid w:val="7BB65505"/>
    <w:rsid w:val="7BB80A08"/>
    <w:rsid w:val="7C60211A"/>
    <w:rsid w:val="7C68679D"/>
    <w:rsid w:val="7C715C38"/>
    <w:rsid w:val="7C73113B"/>
    <w:rsid w:val="7C9E2CF9"/>
    <w:rsid w:val="7CC976C2"/>
    <w:rsid w:val="7CD70E5F"/>
    <w:rsid w:val="7D3C6605"/>
    <w:rsid w:val="7D3D4087"/>
    <w:rsid w:val="7F8B7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仿宋_GB2312" w:hAnsi="Calibri" w:eastAsia="方正仿宋_GB2312" w:cs="方正仿宋_GB2312"/>
      <w:color w:val="000000"/>
      <w:sz w:val="24"/>
      <w:szCs w:val="24"/>
      <w:lang w:val="en-US" w:eastAsia="zh-CN" w:bidi="ar-SA"/>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link w:val="11"/>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0">
    <w:name w:val="页眉 Char"/>
    <w:basedOn w:val="9"/>
    <w:link w:val="6"/>
    <w:semiHidden/>
    <w:qFormat/>
    <w:uiPriority w:val="99"/>
    <w:rPr>
      <w:sz w:val="18"/>
      <w:szCs w:val="18"/>
    </w:rPr>
  </w:style>
  <w:style w:type="character" w:customStyle="1" w:styleId="11">
    <w:name w:val="页脚 Char"/>
    <w:basedOn w:val="9"/>
    <w:link w:val="5"/>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ed13e2d8-b1b6-47b2-80c3-ed4325040b9a</errorID>
      <errorWord>2026年04月07日</errorWord>
      <group>L1_Knowledge</group>
      <groupName>知识性问题</groupName>
      <ability>L2_Time</ability>
      <abilityName>日期时间</abilityName>
      <candidateList>
        <item>2026年4月7日</item>
      </candidateList>
      <explain>根据日常书写习惯，月份和日期一般会省略前导零。</explain>
      <paraID>73E5FBEA</paraID>
      <start>33</start>
      <end>44</end>
      <status>ignored</status>
      <modifiedWord/>
      <trackRevisions>false</trackRevisions>
    </reviewItem>
    <reviewItem>
      <errorID>0f8b995f-7239-4a77-a108-9867ad480f4a</errorID>
      <errorWord>人</errorWord>
      <group>L1_Word</group>
      <groupName>字词问题</groupName>
      <ability>L2_Typo</ability>
      <abilityName>字词错误</abilityName>
      <candidateList>
        <item>人在</item>
      </candidateList>
      <explain/>
      <paraID>1711E339</paraID>
      <start>16</start>
      <end>17</end>
      <status>ignored</status>
      <modifiedWord/>
      <trackRevisions>false</trackRevisions>
    </reviewItem>
    <reviewItem>
      <errorID>b26c9ff9-34c9-4821-8987-7dc45dcfdb2e</errorID>
      <errorWord>已经于2026</errorWord>
      <group>L1_Word</group>
      <groupName>字词问题</groupName>
      <ability>L2_Typo</ability>
      <abilityName>字词错误</abilityName>
      <candidateList>
        <item>已于2026</item>
      </candidateList>
      <explain/>
      <paraID>51030EC8</paraID>
      <start>28</start>
      <end>35</end>
      <status>unmodified</status>
      <modifiedWord/>
      <trackRevisions>false</trackRevisions>
    </reviewItem>
    <reviewItem>
      <errorID>3299c503-88a0-49f5-af22-074f04b777d2</errorID>
      <errorWord>《食品安全法》</errorWord>
      <group>L1_Word</group>
      <groupName>字词问题</groupName>
      <ability>L2_Typo</ability>
      <abilityName>字词错误</abilityName>
      <candidateList>
        <item>《中华人民共和国食品安全法》</item>
      </candidateList>
      <explain/>
      <paraID>460AF8AE</paraID>
      <start>117</start>
      <end>124</end>
      <status>unmodified</status>
      <modifiedWord/>
      <trackRevisions>false</trackRevisions>
    </reviewItem>
    <reviewItem>
      <errorID>150d6e45-1447-42ce-adec-b3c8d3ef789e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7235318C</paraID>
      <start>0</start>
      <end>2</end>
      <status>unmodified</status>
      <modifiedWord/>
      <trackRevisions>false</trackRevisions>
    </reviewItem>
    <reviewItem>
      <errorID>d2c1aa3b-f5cf-4da1-8c90-e9685689e9eb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4EEA8AC0</paraID>
      <start>0</start>
      <end>2</end>
      <status>unmodified</status>
      <modifiedWord/>
      <trackRevisions>false</trackRevisions>
    </reviewItem>
    <reviewItem>
      <errorID>48fe9313-bde2-4c45-bdb5-3a3eeb8cef05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364E0C8E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be158b-d06a-4c9f-919b-9dab9bee823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1908</Words>
  <Characters>2064</Characters>
  <Lines>12</Lines>
  <Paragraphs>3</Paragraphs>
  <TotalTime>7</TotalTime>
  <ScaleCrop>false</ScaleCrop>
  <LinksUpToDate>false</LinksUpToDate>
  <CharactersWithSpaces>2117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2021-08-24T03:17:00Z</dcterms:created>
  <dc:creator>AutoBVT</dc:creator>
  <cp:lastModifiedBy>蕃蕃</cp:lastModifiedBy>
  <cp:lastPrinted>2022-04-22T09:11:00Z</cp:lastPrinted>
  <dcterms:modified xsi:type="dcterms:W3CDTF">2026-07-22T03:02:10Z</dcterms:modified>
  <dc:title>柳州市柳北区市场监督管理局</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9C288E61E42D45A6A0A0A78B523B756A_13</vt:lpwstr>
  </property>
  <property fmtid="{D5CDD505-2E9C-101B-9397-08002B2CF9AE}" pid="4" name="commondata">
    <vt:lpwstr>eyJoZGlkIjoiNDgyNzkyZjI1NDFlNzk2ZjY4OTViMWUyMTEzNGQ0YTIifQ==</vt:lpwstr>
  </property>
  <property fmtid="{D5CDD505-2E9C-101B-9397-08002B2CF9AE}" pid="5" name="KSOTemplateDocerSaveRecord">
    <vt:lpwstr>eyJoZGlkIjoiNjljYzBiNmJkNjNmYjA3MDkwNzQ4ZTM5NDc1MTY5NDgiLCJ1c2VySWQiOiI5MTQwNjk2NTMifQ==</vt:lpwstr>
  </property>
</Properties>
</file>