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C0E58">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柳州市柳北区市场监督管理局</w:t>
      </w:r>
    </w:p>
    <w:p w14:paraId="07B0A73F">
      <w:pPr>
        <w:tabs>
          <w:tab w:val="left" w:pos="1649"/>
          <w:tab w:val="center" w:pos="4596"/>
        </w:tabs>
        <w:spacing w:line="520" w:lineRule="exact"/>
        <w:jc w:val="left"/>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ab/>
      </w:r>
      <w:r>
        <w:rPr>
          <w:rFonts w:hint="eastAsia" w:ascii="方正小标宋简体" w:hAnsi="方正小标宋简体" w:eastAsia="方正小标宋简体" w:cs="方正小标宋简体"/>
          <w:color w:val="auto"/>
          <w:sz w:val="44"/>
          <w:szCs w:val="44"/>
          <w:lang w:eastAsia="zh-CN"/>
        </w:rPr>
        <w:tab/>
      </w:r>
      <w:r>
        <w:rPr>
          <w:rFonts w:hint="eastAsia" w:ascii="方正小标宋简体" w:hAnsi="方正小标宋简体" w:eastAsia="方正小标宋简体" w:cs="方正小标宋简体"/>
          <w:color w:val="auto"/>
          <w:sz w:val="44"/>
          <w:szCs w:val="44"/>
        </w:rPr>
        <w:t>行政处罚决定书</w:t>
      </w:r>
    </w:p>
    <w:p w14:paraId="6AF48001">
      <w:pPr>
        <w:keepNext w:val="0"/>
        <w:keepLines w:val="0"/>
        <w:pageBreakBefore w:val="0"/>
        <w:widowControl w:val="0"/>
        <w:kinsoku/>
        <w:wordWrap/>
        <w:overflowPunct/>
        <w:topLinePunct w:val="0"/>
        <w:autoSpaceDE/>
        <w:autoSpaceDN/>
        <w:bidi w:val="0"/>
        <w:snapToGrid/>
        <w:spacing w:line="420" w:lineRule="exact"/>
        <w:ind w:left="0" w:leftChars="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柳北市监</w:t>
      </w:r>
      <w:r>
        <w:rPr>
          <w:rFonts w:hint="eastAsia" w:ascii="仿宋_GB2312" w:hAnsi="仿宋_GB2312" w:eastAsia="仿宋_GB2312" w:cs="仿宋_GB2312"/>
          <w:color w:val="auto"/>
          <w:sz w:val="32"/>
          <w:szCs w:val="32"/>
          <w:lang w:eastAsia="zh-CN"/>
        </w:rPr>
        <w:t>处</w:t>
      </w:r>
      <w:r>
        <w:rPr>
          <w:rFonts w:hint="eastAsia" w:ascii="仿宋_GB2312" w:hAnsi="仿宋_GB2312" w:eastAsia="仿宋_GB2312" w:cs="仿宋_GB2312"/>
          <w:color w:val="auto"/>
          <w:sz w:val="32"/>
          <w:szCs w:val="32"/>
        </w:rPr>
        <w:t>罚〔202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82</w:t>
      </w:r>
      <w:r>
        <w:rPr>
          <w:rFonts w:hint="eastAsia" w:ascii="仿宋_GB2312" w:hAnsi="仿宋_GB2312" w:eastAsia="仿宋_GB2312" w:cs="仿宋_GB2312"/>
          <w:color w:val="auto"/>
          <w:sz w:val="32"/>
          <w:szCs w:val="32"/>
        </w:rPr>
        <w:t>号</w:t>
      </w:r>
    </w:p>
    <w:p w14:paraId="38193302">
      <w:pPr>
        <w:keepNext w:val="0"/>
        <w:keepLines w:val="0"/>
        <w:pageBreakBefore w:val="0"/>
        <w:widowControl w:val="0"/>
        <w:kinsoku/>
        <w:wordWrap/>
        <w:overflowPunct/>
        <w:topLinePunct w:val="0"/>
        <w:autoSpaceDE/>
        <w:autoSpaceDN/>
        <w:bidi w:val="0"/>
        <w:adjustRightInd w:val="0"/>
        <w:snapToGrid/>
        <w:spacing w:line="420" w:lineRule="exact"/>
        <w:ind w:left="0" w:leftChars="0" w:right="233" w:rightChars="111"/>
        <w:textAlignment w:val="baseline"/>
        <w:rPr>
          <w:rFonts w:ascii="仿宋_GB2312" w:hAnsi="仿宋_GB2312" w:eastAsia="仿宋_GB2312" w:cs="仿宋_GB2312"/>
          <w:color w:val="auto"/>
          <w:sz w:val="32"/>
          <w:szCs w:val="32"/>
        </w:rPr>
      </w:pPr>
    </w:p>
    <w:p w14:paraId="2F8515ED">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当事人：</w:t>
      </w:r>
      <w:r>
        <w:rPr>
          <w:rFonts w:hint="default" w:ascii="仿宋_GB2312" w:hAnsi="仿宋_GB2312" w:eastAsia="仿宋_GB2312" w:cs="仿宋_GB2312"/>
          <w:color w:val="auto"/>
          <w:sz w:val="32"/>
          <w:szCs w:val="32"/>
          <w:u w:val="none" w:color="auto"/>
          <w:lang w:val="en-US" w:eastAsia="zh-CN"/>
        </w:rPr>
        <w:t>柳州市柳北区</w:t>
      </w:r>
      <w:r>
        <w:rPr>
          <w:rFonts w:hint="eastAsia" w:ascii="仿宋_GB2312" w:hAnsi="仿宋_GB2312" w:eastAsia="仿宋_GB2312" w:cs="仿宋_GB2312"/>
          <w:color w:val="auto"/>
          <w:sz w:val="32"/>
          <w:szCs w:val="32"/>
          <w:u w:val="none" w:color="auto"/>
          <w:lang w:val="en-US" w:eastAsia="zh-CN"/>
        </w:rPr>
        <w:t>江湖蚝宅餐饮店（个体工商户）</w:t>
      </w:r>
    </w:p>
    <w:p w14:paraId="784971C8">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 xml:space="preserve">主体资格证照名称：营业执照  </w:t>
      </w:r>
    </w:p>
    <w:p w14:paraId="06E21B2C">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u w:val="none" w:color="auto"/>
          <w:lang w:val="en-US" w:eastAsia="zh-CN"/>
        </w:rPr>
        <w:t>统一社会信用代码：</w:t>
      </w:r>
      <w:r>
        <w:rPr>
          <w:rFonts w:hint="eastAsia" w:ascii="仿宋_GB2312" w:hAnsi="仿宋_GB2312" w:eastAsia="仿宋_GB2312" w:cs="仿宋_GB2312"/>
          <w:color w:val="auto"/>
          <w:sz w:val="32"/>
          <w:szCs w:val="32"/>
          <w:lang w:val="en-US" w:eastAsia="zh-CN"/>
        </w:rPr>
        <w:t>92450204MAA7H87R19</w:t>
      </w:r>
    </w:p>
    <w:p w14:paraId="1BA819B9">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经营场所：</w:t>
      </w:r>
      <w:r>
        <w:rPr>
          <w:rFonts w:hint="eastAsia" w:ascii="仿宋_GB2312" w:hAnsi="仿宋_GB2312" w:eastAsia="仿宋_GB2312" w:cs="仿宋_GB2312"/>
          <w:color w:val="auto"/>
          <w:sz w:val="32"/>
          <w:szCs w:val="32"/>
          <w:u w:val="none" w:color="auto"/>
          <w:lang w:val="en-US" w:eastAsia="zh-CN"/>
        </w:rPr>
        <w:t>柳州市柳北区锦绣路1号四季花都6栋1-4号商铺</w:t>
      </w:r>
    </w:p>
    <w:p w14:paraId="0715ED3B">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color w:val="auto"/>
          <w:w w:val="100"/>
          <w:sz w:val="32"/>
          <w:szCs w:val="32"/>
          <w:u w:val="none" w:color="auto"/>
          <w:lang w:val="en-US" w:eastAsia="zh-CN"/>
        </w:rPr>
        <w:t>经营者：</w:t>
      </w:r>
      <w:r>
        <w:rPr>
          <w:rFonts w:hint="eastAsia" w:ascii="仿宋_GB2312" w:hAnsi="仿宋_GB2312" w:eastAsia="仿宋_GB2312" w:cs="仿宋_GB2312"/>
          <w:bCs/>
          <w:color w:val="auto"/>
          <w:sz w:val="32"/>
          <w:szCs w:val="32"/>
          <w:lang w:eastAsia="zh-CN"/>
        </w:rPr>
        <w:t>何其南</w:t>
      </w:r>
    </w:p>
    <w:p w14:paraId="7C463E43">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bCs/>
          <w:color w:val="auto"/>
          <w:w w:val="100"/>
          <w:sz w:val="32"/>
          <w:szCs w:val="32"/>
          <w:u w:val="none" w:color="auto"/>
          <w:lang w:val="en-US" w:eastAsia="zh-CN"/>
        </w:rPr>
      </w:pPr>
      <w:r>
        <w:rPr>
          <w:rFonts w:hint="eastAsia" w:ascii="仿宋_GB2312" w:hAnsi="仿宋_GB2312" w:eastAsia="仿宋_GB2312" w:cs="仿宋_GB2312"/>
          <w:bCs/>
          <w:color w:val="auto"/>
          <w:w w:val="100"/>
          <w:sz w:val="32"/>
          <w:szCs w:val="32"/>
          <w:u w:val="none" w:color="auto"/>
          <w:lang w:val="en-US" w:eastAsia="zh-CN"/>
        </w:rPr>
        <w:t>身份证件号码：</w:t>
      </w:r>
      <w:r>
        <w:rPr>
          <w:rFonts w:hint="eastAsia" w:ascii="仿宋_GB2312" w:hAnsi="仿宋_GB2312" w:eastAsia="仿宋_GB2312" w:cs="仿宋_GB2312"/>
          <w:color w:val="auto"/>
          <w:w w:val="100"/>
          <w:kern w:val="0"/>
          <w:sz w:val="32"/>
          <w:szCs w:val="32"/>
          <w:u w:val="none" w:color="auto"/>
          <w:lang w:val="en-US" w:eastAsia="zh-CN" w:bidi="ar"/>
        </w:rPr>
        <w:t>*</w:t>
      </w:r>
      <w:bookmarkStart w:id="0" w:name="_GoBack"/>
      <w:bookmarkEnd w:id="0"/>
    </w:p>
    <w:p w14:paraId="19DAD30D">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firstLine="640" w:firstLineChars="200"/>
        <w:textAlignment w:val="baseline"/>
        <w:rPr>
          <w:rFonts w:hint="eastAsia" w:ascii="仿宋_GB2312" w:hAnsi="仿宋_GB2312" w:eastAsia="仿宋_GB2312" w:cs="仿宋_GB2312"/>
          <w:color w:val="auto"/>
          <w:w w:val="100"/>
          <w:sz w:val="32"/>
          <w:szCs w:val="32"/>
        </w:rPr>
      </w:pPr>
    </w:p>
    <w:p w14:paraId="29C1CE90">
      <w:pPr>
        <w:spacing w:line="520" w:lineRule="exact"/>
        <w:ind w:firstLine="640" w:firstLineChars="200"/>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kern w:val="0"/>
          <w:sz w:val="32"/>
          <w:szCs w:val="32"/>
          <w:u w:val="none" w:color="auto"/>
          <w:lang w:val="en-US" w:eastAsia="zh-CN" w:bidi="ar-SA"/>
        </w:rPr>
        <w:t>我局执法人员于2026年5月21日对当事人经营场所进行检查，当事人从事小餐饮经营活动但未能出示有效的《广西壮族自治区小餐饮登记证》，当事人的上述行为涉嫌违反了《广西壮族自治区食品小作坊小餐饮和食品摊贩管理条例》第十七条第二款的规定，我局于2026年</w:t>
      </w:r>
      <w:r>
        <w:rPr>
          <w:rFonts w:hint="eastAsia" w:ascii="仿宋_GB2312" w:hAnsi="仿宋_GB2312" w:eastAsia="仿宋_GB2312" w:cs="仿宋_GB2312"/>
          <w:color w:val="auto"/>
          <w:kern w:val="0"/>
          <w:sz w:val="32"/>
          <w:szCs w:val="32"/>
          <w:highlight w:val="none"/>
          <w:u w:val="none" w:color="auto"/>
          <w:lang w:val="en-US" w:eastAsia="zh-CN" w:bidi="ar-SA"/>
        </w:rPr>
        <w:t>6月2日对</w:t>
      </w:r>
      <w:r>
        <w:rPr>
          <w:rFonts w:hint="eastAsia" w:ascii="仿宋_GB2312" w:hAnsi="仿宋_GB2312" w:eastAsia="仿宋_GB2312" w:cs="仿宋_GB2312"/>
          <w:color w:val="auto"/>
          <w:kern w:val="0"/>
          <w:sz w:val="32"/>
          <w:szCs w:val="32"/>
          <w:u w:val="none" w:color="auto"/>
          <w:lang w:val="en-US" w:eastAsia="zh-CN" w:bidi="ar-SA"/>
        </w:rPr>
        <w:t>当事人涉嫌</w:t>
      </w:r>
      <w:r>
        <w:rPr>
          <w:rFonts w:hint="eastAsia" w:ascii="仿宋_GB2312" w:hAnsi="仿宋_GB2312" w:eastAsia="仿宋_GB2312" w:cs="仿宋_GB2312"/>
          <w:bCs/>
          <w:color w:val="auto"/>
          <w:sz w:val="32"/>
          <w:szCs w:val="32"/>
          <w:lang w:eastAsia="zh-CN"/>
        </w:rPr>
        <w:t>未取得小餐饮登记证从事小餐饮经营活动的行为</w:t>
      </w:r>
      <w:r>
        <w:rPr>
          <w:rFonts w:hint="eastAsia" w:ascii="仿宋_GB2312" w:hAnsi="仿宋_GB2312" w:eastAsia="仿宋_GB2312" w:cs="仿宋_GB2312"/>
          <w:color w:val="auto"/>
          <w:kern w:val="0"/>
          <w:sz w:val="32"/>
          <w:szCs w:val="32"/>
          <w:u w:val="none" w:color="auto"/>
          <w:lang w:val="en-US" w:eastAsia="zh-CN" w:bidi="ar-SA"/>
        </w:rPr>
        <w:t>进行立案调查。</w:t>
      </w:r>
    </w:p>
    <w:p w14:paraId="58B52837">
      <w:pPr>
        <w:pStyle w:val="5"/>
        <w:keepNext w:val="0"/>
        <w:keepLines w:val="0"/>
        <w:pageBreakBefore w:val="0"/>
        <w:widowControl/>
        <w:kinsoku/>
        <w:wordWrap/>
        <w:overflowPunct/>
        <w:topLinePunct w:val="0"/>
        <w:autoSpaceDE/>
        <w:autoSpaceDN/>
        <w:bidi w:val="0"/>
        <w:snapToGrid/>
        <w:spacing w:beforeAutospacing="0" w:afterAutospacing="0" w:line="5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kern w:val="2"/>
          <w:sz w:val="32"/>
          <w:szCs w:val="32"/>
          <w:lang w:val="en-US" w:eastAsia="zh-CN" w:bidi="ar-SA"/>
        </w:rPr>
        <w:t>经查，当事人自2025年1月2日起，在未依法取得《</w:t>
      </w:r>
      <w:r>
        <w:rPr>
          <w:rFonts w:hint="eastAsia" w:ascii="仿宋_GB2312" w:hAnsi="仿宋_GB2312" w:eastAsia="仿宋_GB2312" w:cs="仿宋_GB2312"/>
          <w:color w:val="auto"/>
          <w:kern w:val="0"/>
          <w:sz w:val="32"/>
          <w:szCs w:val="32"/>
          <w:u w:val="none" w:color="auto"/>
          <w:lang w:val="en-US" w:eastAsia="zh-CN" w:bidi="ar-SA"/>
        </w:rPr>
        <w:t>广西壮族自治区小餐饮登记证</w:t>
      </w:r>
      <w:r>
        <w:rPr>
          <w:rFonts w:hint="eastAsia" w:ascii="仿宋_GB2312" w:hAnsi="仿宋_GB2312" w:eastAsia="仿宋_GB2312" w:cs="仿宋_GB2312"/>
          <w:color w:val="auto"/>
          <w:kern w:val="2"/>
          <w:sz w:val="32"/>
          <w:szCs w:val="32"/>
          <w:lang w:val="en-US" w:eastAsia="zh-CN" w:bidi="ar-SA"/>
        </w:rPr>
        <w:t>》的情况下，</w:t>
      </w:r>
      <w:r>
        <w:rPr>
          <w:rFonts w:hint="eastAsia" w:ascii="仿宋_GB2312" w:hAnsi="仿宋_GB2312" w:eastAsia="仿宋_GB2312" w:cs="仿宋_GB2312"/>
          <w:color w:val="auto"/>
          <w:kern w:val="0"/>
          <w:sz w:val="32"/>
          <w:szCs w:val="32"/>
          <w:u w:val="none" w:color="auto"/>
          <w:lang w:val="en-US" w:eastAsia="zh-CN" w:bidi="ar-SA"/>
        </w:rPr>
        <w:t>在京东平台上从事网络餐饮服务活动，网店名称为“北海蚝吧保利店”。当事人已于2026年5月5日下架该网店。</w:t>
      </w:r>
    </w:p>
    <w:p w14:paraId="74521709">
      <w:pPr>
        <w:pStyle w:val="5"/>
        <w:keepNext w:val="0"/>
        <w:keepLines w:val="0"/>
        <w:pageBreakBefore w:val="0"/>
        <w:widowControl/>
        <w:kinsoku/>
        <w:wordWrap/>
        <w:overflowPunct/>
        <w:topLinePunct w:val="0"/>
        <w:autoSpaceDE/>
        <w:autoSpaceDN/>
        <w:bidi w:val="0"/>
        <w:snapToGrid/>
        <w:spacing w:beforeAutospacing="0" w:afterAutospacing="0" w:line="5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kern w:val="0"/>
          <w:sz w:val="32"/>
          <w:szCs w:val="32"/>
          <w:u w:val="none" w:color="auto"/>
          <w:lang w:val="en-US" w:eastAsia="zh-CN" w:bidi="ar-SA"/>
        </w:rPr>
        <w:t>另查实，当事人曾因未依法取得小餐饮登记证从事小餐饮经营活动，于2026年5月7日被我局当场行政处罚。</w:t>
      </w:r>
    </w:p>
    <w:p w14:paraId="4914AA8E">
      <w:pPr>
        <w:keepNext w:val="0"/>
        <w:keepLines w:val="0"/>
        <w:pageBreakBefore w:val="0"/>
        <w:widowControl w:val="0"/>
        <w:kinsoku/>
        <w:wordWrap/>
        <w:overflowPunct/>
        <w:topLinePunct w:val="0"/>
        <w:autoSpaceDE/>
        <w:autoSpaceDN/>
        <w:bidi w:val="0"/>
        <w:snapToGrid/>
        <w:spacing w:line="480" w:lineRule="exact"/>
        <w:ind w:left="0" w:leftChars="0"/>
        <w:jc w:val="both"/>
        <w:textAlignment w:val="auto"/>
        <w:rPr>
          <w:rFonts w:ascii="仿宋_GB2312" w:hAnsi="仿宋_GB2312" w:eastAsia="仿宋_GB2312" w:cs="仿宋_GB2312"/>
          <w:b/>
          <w:color w:val="auto"/>
          <w:sz w:val="32"/>
          <w:szCs w:val="32"/>
        </w:rPr>
      </w:pPr>
      <w:r>
        <w:rPr>
          <w:rFonts w:hint="eastAsia" w:hAnsi="仿宋_GB2312" w:cs="仿宋_GB2312"/>
          <w:color w:val="auto"/>
          <w:kern w:val="0"/>
          <w:sz w:val="32"/>
          <w:szCs w:val="32"/>
          <w:lang w:val="en-US" w:eastAsia="zh-CN"/>
        </w:rPr>
        <w:t xml:space="preserve">    </w:t>
      </w:r>
      <w:r>
        <w:rPr>
          <w:rFonts w:hint="eastAsia" w:ascii="仿宋_GB2312" w:hAnsi="仿宋_GB2312" w:eastAsia="仿宋_GB2312" w:cs="仿宋_GB2312"/>
          <w:b w:val="0"/>
          <w:bCs/>
          <w:color w:val="auto"/>
          <w:sz w:val="32"/>
          <w:szCs w:val="32"/>
        </w:rPr>
        <w:t>上述事实，主要有以下证据证明：</w:t>
      </w:r>
    </w:p>
    <w:p w14:paraId="4C069451">
      <w:pPr>
        <w:keepNext w:val="0"/>
        <w:keepLines w:val="0"/>
        <w:pageBreakBefore w:val="0"/>
        <w:widowControl w:val="0"/>
        <w:numPr>
          <w:ilvl w:val="0"/>
          <w:numId w:val="0"/>
        </w:numPr>
        <w:kinsoku/>
        <w:wordWrap/>
        <w:overflowPunct/>
        <w:topLinePunct w:val="0"/>
        <w:bidi w:val="0"/>
        <w:snapToGrid/>
        <w:spacing w:line="5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当事人的《营业执照》复印件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份、身份证复印件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份，</w:t>
      </w:r>
      <w:r>
        <w:rPr>
          <w:rFonts w:hint="eastAsia" w:ascii="仿宋_GB2312" w:hAnsi="仿宋_GB2312" w:eastAsia="仿宋_GB2312" w:cs="仿宋_GB2312"/>
          <w:color w:val="auto"/>
          <w:sz w:val="32"/>
          <w:szCs w:val="32"/>
          <w:highlight w:val="none"/>
          <w:lang w:val="en-US" w:eastAsia="zh-CN"/>
        </w:rPr>
        <w:t>证明当事人的主体资格</w:t>
      </w:r>
      <w:r>
        <w:rPr>
          <w:rFonts w:hint="eastAsia" w:ascii="仿宋_GB2312" w:hAnsi="仿宋_GB2312" w:eastAsia="仿宋_GB2312" w:cs="仿宋_GB2312"/>
          <w:strike w:val="0"/>
          <w:dstrike w:val="0"/>
          <w:color w:val="auto"/>
          <w:sz w:val="32"/>
          <w:szCs w:val="32"/>
          <w:highlight w:val="none"/>
          <w:lang w:val="en-US" w:eastAsia="zh-CN"/>
        </w:rPr>
        <w:t>及经营者</w:t>
      </w:r>
      <w:r>
        <w:rPr>
          <w:rFonts w:hint="eastAsia" w:ascii="仿宋_GB2312" w:hAnsi="仿宋_GB2312" w:eastAsia="仿宋_GB2312" w:cs="仿宋_GB2312"/>
          <w:color w:val="auto"/>
          <w:sz w:val="32"/>
          <w:szCs w:val="32"/>
          <w:highlight w:val="none"/>
          <w:lang w:val="en-US" w:eastAsia="zh-CN"/>
        </w:rPr>
        <w:t>的身份信息。</w:t>
      </w:r>
    </w:p>
    <w:p w14:paraId="7239147A">
      <w:pPr>
        <w:keepNext w:val="0"/>
        <w:keepLines w:val="0"/>
        <w:pageBreakBefore w:val="0"/>
        <w:widowControl w:val="0"/>
        <w:numPr>
          <w:ilvl w:val="0"/>
          <w:numId w:val="0"/>
        </w:numPr>
        <w:kinsoku/>
        <w:wordWrap/>
        <w:overflowPunct/>
        <w:topLinePunct w:val="0"/>
        <w:bidi w:val="0"/>
        <w:snapToGrid/>
        <w:spacing w:line="500" w:lineRule="exact"/>
        <w:ind w:left="0" w:leftChars="0" w:right="0" w:rightChars="0" w:firstLine="640" w:firstLineChars="200"/>
        <w:jc w:val="left"/>
        <w:textAlignment w:val="auto"/>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0"/>
          <w:sz w:val="32"/>
          <w:szCs w:val="32"/>
          <w:u w:val="none" w:color="auto"/>
          <w:lang w:val="en-US" w:eastAsia="zh-CN" w:bidi="ar-SA"/>
        </w:rPr>
        <w:t xml:space="preserve">.2026年5月21日的《现场笔录》1份、2026年6月10日《询问笔录》1份，当事人曾在柳州市谷埠街国际商城K2中亭广场临时亭03号门面持有的《广西壮族自治区小餐饮登记证》复印件1份，证明当事人存在未取得小餐饮登记证的情况下，在柳州市柳北区锦绣路1号四季花都6栋1-4号商铺从事网络餐饮服务活动的事实。           </w:t>
      </w:r>
    </w:p>
    <w:p w14:paraId="7BB1D154">
      <w:pPr>
        <w:keepNext w:val="0"/>
        <w:keepLines w:val="0"/>
        <w:pageBreakBefore w:val="0"/>
        <w:widowControl w:val="0"/>
        <w:numPr>
          <w:ilvl w:val="0"/>
          <w:numId w:val="0"/>
        </w:numPr>
        <w:kinsoku/>
        <w:wordWrap/>
        <w:overflowPunct/>
        <w:topLinePunct w:val="0"/>
        <w:bidi w:val="0"/>
        <w:snapToGrid/>
        <w:spacing w:line="500" w:lineRule="exact"/>
        <w:ind w:left="0" w:leftChars="0" w:right="0" w:rightChars="0" w:firstLine="640" w:firstLineChars="200"/>
        <w:jc w:val="left"/>
        <w:textAlignment w:val="auto"/>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2026年5月7日的《当场行政处罚决定书》（柳北市监当罚[2026]49号）及《现场笔录》</w:t>
      </w:r>
      <w:r>
        <w:rPr>
          <w:rFonts w:hint="eastAsia" w:ascii="仿宋_GB2312" w:hAnsi="仿宋_GB2312" w:eastAsia="仿宋_GB2312" w:cs="仿宋_GB2312"/>
          <w:color w:val="auto"/>
          <w:sz w:val="32"/>
          <w:szCs w:val="32"/>
          <w:lang w:val="en-US" w:eastAsia="zh-CN"/>
        </w:rPr>
        <w:t>复印件各1份，</w:t>
      </w:r>
      <w:r>
        <w:rPr>
          <w:rFonts w:hint="eastAsia" w:ascii="仿宋_GB2312" w:hAnsi="仿宋_GB2312" w:eastAsia="仿宋_GB2312" w:cs="仿宋_GB2312"/>
          <w:bCs/>
          <w:color w:val="auto"/>
          <w:sz w:val="32"/>
          <w:szCs w:val="32"/>
          <w:highlight w:val="none"/>
          <w:lang w:val="en-US" w:eastAsia="zh-CN"/>
        </w:rPr>
        <w:t>证明</w:t>
      </w:r>
      <w:r>
        <w:rPr>
          <w:rFonts w:hint="eastAsia" w:ascii="仿宋_GB2312" w:hAnsi="仿宋_GB2312" w:eastAsia="仿宋_GB2312" w:cs="仿宋_GB2312"/>
          <w:color w:val="auto"/>
          <w:kern w:val="0"/>
          <w:sz w:val="32"/>
          <w:szCs w:val="32"/>
          <w:u w:val="none" w:color="auto"/>
          <w:lang w:val="en-US" w:eastAsia="zh-CN" w:bidi="ar-SA"/>
        </w:rPr>
        <w:t>当事人曾因未取得小餐饮登记证从事餐饮服务经营活动由我局予以警告，限期责令改正的事实。</w:t>
      </w:r>
    </w:p>
    <w:p w14:paraId="6D9645F1">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rPr>
        <w:t>以上证据均由</w:t>
      </w:r>
      <w:r>
        <w:rPr>
          <w:rFonts w:hint="eastAsia" w:ascii="仿宋_GB2312" w:hAnsi="仿宋_GB2312" w:eastAsia="仿宋_GB2312" w:cs="仿宋_GB2312"/>
          <w:bCs/>
          <w:color w:val="auto"/>
          <w:sz w:val="32"/>
          <w:szCs w:val="32"/>
          <w:lang w:val="en-US" w:eastAsia="zh-CN"/>
        </w:rPr>
        <w:t>经营者</w:t>
      </w:r>
      <w:r>
        <w:rPr>
          <w:rFonts w:hint="eastAsia" w:ascii="仿宋_GB2312" w:hAnsi="仿宋_GB2312" w:eastAsia="仿宋_GB2312" w:cs="仿宋_GB2312"/>
          <w:bCs/>
          <w:color w:val="auto"/>
          <w:sz w:val="32"/>
          <w:szCs w:val="32"/>
        </w:rPr>
        <w:t>签名认可。</w:t>
      </w:r>
      <w:r>
        <w:rPr>
          <w:rFonts w:hint="eastAsia" w:ascii="仿宋_GB2312" w:hAnsi="仿宋_GB2312" w:eastAsia="仿宋_GB2312" w:cs="仿宋_GB2312"/>
          <w:bCs/>
          <w:color w:val="auto"/>
          <w:sz w:val="32"/>
          <w:szCs w:val="32"/>
          <w:u w:val="none" w:color="auto"/>
          <w:lang w:val="en-US" w:eastAsia="zh-CN"/>
        </w:rPr>
        <w:t xml:space="preserve"> </w:t>
      </w:r>
    </w:p>
    <w:p w14:paraId="10366988">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2026年7月10日我局向当事人送达了《行政处罚告知书》（柳北市监罚告</w:t>
      </w:r>
      <w:r>
        <w:rPr>
          <w:rFonts w:hint="eastAsia" w:ascii="仿宋_GB2312" w:hAnsi="仿宋_GB2312" w:eastAsia="仿宋_GB2312" w:cs="仿宋_GB2312"/>
          <w:bCs/>
          <w:color w:val="auto"/>
          <w:sz w:val="32"/>
          <w:szCs w:val="32"/>
          <w:highlight w:val="none"/>
          <w:u w:val="none" w:color="auto"/>
          <w:lang w:val="en-US" w:eastAsia="zh-CN"/>
        </w:rPr>
        <w:t>〔2026〕65号</w:t>
      </w:r>
      <w:r>
        <w:rPr>
          <w:rFonts w:hint="eastAsia" w:ascii="仿宋_GB2312" w:hAnsi="仿宋_GB2312" w:eastAsia="仿宋_GB2312" w:cs="仿宋_GB2312"/>
          <w:bCs/>
          <w:color w:val="auto"/>
          <w:sz w:val="32"/>
          <w:szCs w:val="32"/>
          <w:u w:val="none" w:color="auto"/>
          <w:lang w:val="en-US" w:eastAsia="zh-CN"/>
        </w:rPr>
        <w:t>），告知当事人我局拟作出行政处罚的事实、理由、依据、处罚内容及享有的权利。当事人在法定期限内未提出陈述、申辩。</w:t>
      </w:r>
    </w:p>
    <w:p w14:paraId="390D6C19">
      <w:pPr>
        <w:pStyle w:val="2"/>
        <w:keepNext w:val="0"/>
        <w:keepLines w:val="0"/>
        <w:pageBreakBefore w:val="0"/>
        <w:widowControl w:val="0"/>
        <w:kinsoku/>
        <w:wordWrap/>
        <w:overflowPunct/>
        <w:topLinePunct w:val="0"/>
        <w:autoSpaceDE w:val="0"/>
        <w:autoSpaceDN w:val="0"/>
        <w:bidi w:val="0"/>
        <w:adjustRightInd w:val="0"/>
        <w:snapToGrid/>
        <w:spacing w:line="500" w:lineRule="exact"/>
        <w:ind w:firstLine="640" w:firstLineChars="200"/>
        <w:textAlignment w:val="auto"/>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当事人经营场所为固定经营门店，经营条件简单、从业人员1人，根据《广西壮族自治区食品小作坊小餐饮和食品摊贩管理条例》第二条第三款的规定，属于小餐饮。</w:t>
      </w:r>
    </w:p>
    <w:p w14:paraId="5EFA630C">
      <w:pPr>
        <w:keepNext w:val="0"/>
        <w:keepLines w:val="0"/>
        <w:pageBreakBefore w:val="0"/>
        <w:widowControl w:val="0"/>
        <w:numPr>
          <w:ilvl w:val="0"/>
          <w:numId w:val="0"/>
        </w:numPr>
        <w:kinsoku/>
        <w:wordWrap/>
        <w:overflowPunct/>
        <w:topLinePunct w:val="0"/>
        <w:bidi w:val="0"/>
        <w:snapToGrid/>
        <w:spacing w:line="50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eastAsia="zh-CN"/>
        </w:rPr>
        <w:t>当事人的上述行为，违反了《</w:t>
      </w:r>
      <w:r>
        <w:rPr>
          <w:rFonts w:hint="eastAsia" w:ascii="仿宋_GB2312" w:hAnsi="仿宋_GB2312" w:eastAsia="仿宋_GB2312" w:cs="仿宋_GB2312"/>
          <w:color w:val="auto"/>
          <w:kern w:val="0"/>
          <w:sz w:val="32"/>
          <w:szCs w:val="32"/>
          <w:u w:val="none" w:color="auto"/>
          <w:lang w:val="en-US" w:eastAsia="zh-CN" w:bidi="ar-SA"/>
        </w:rPr>
        <w:t>广西壮族自治区食品小作坊小餐饮和食品摊贩管理条例</w:t>
      </w:r>
      <w:r>
        <w:rPr>
          <w:rFonts w:hint="eastAsia" w:ascii="仿宋_GB2312" w:hAnsi="仿宋_GB2312" w:eastAsia="仿宋_GB2312" w:cs="仿宋_GB2312"/>
          <w:color w:val="auto"/>
          <w:sz w:val="32"/>
          <w:szCs w:val="32"/>
          <w:highlight w:val="none"/>
          <w:lang w:eastAsia="zh-CN"/>
        </w:rPr>
        <w:t>》第十七条第二款的规定，属于</w:t>
      </w:r>
      <w:r>
        <w:rPr>
          <w:rFonts w:hint="eastAsia" w:ascii="仿宋_GB2312" w:hAnsi="仿宋_GB2312" w:eastAsia="仿宋_GB2312" w:cs="仿宋_GB2312"/>
          <w:bCs/>
          <w:color w:val="auto"/>
          <w:sz w:val="32"/>
          <w:szCs w:val="32"/>
          <w:highlight w:val="none"/>
          <w:lang w:eastAsia="zh-CN"/>
        </w:rPr>
        <w:t>未</w:t>
      </w:r>
      <w:r>
        <w:rPr>
          <w:rFonts w:hint="eastAsia" w:ascii="仿宋_GB2312" w:hAnsi="仿宋_GB2312" w:eastAsia="仿宋_GB2312" w:cs="仿宋_GB2312"/>
          <w:bCs/>
          <w:color w:val="auto"/>
          <w:sz w:val="32"/>
          <w:szCs w:val="32"/>
          <w:lang w:eastAsia="zh-CN"/>
        </w:rPr>
        <w:t>取得小餐饮登记证从事小餐饮经营活动</w:t>
      </w:r>
      <w:r>
        <w:rPr>
          <w:rFonts w:hint="eastAsia" w:ascii="仿宋_GB2312" w:hAnsi="仿宋_GB2312" w:eastAsia="仿宋_GB2312" w:cs="仿宋_GB2312"/>
          <w:color w:val="auto"/>
          <w:sz w:val="32"/>
          <w:szCs w:val="32"/>
          <w:highlight w:val="none"/>
          <w:lang w:eastAsia="zh-CN"/>
        </w:rPr>
        <w:t>的行为</w:t>
      </w:r>
      <w:r>
        <w:rPr>
          <w:rFonts w:hint="eastAsia" w:ascii="仿宋_GB2312" w:hAnsi="仿宋_GB2312" w:eastAsia="仿宋_GB2312" w:cs="仿宋_GB2312"/>
          <w:color w:val="auto"/>
          <w:sz w:val="32"/>
          <w:szCs w:val="32"/>
          <w:lang w:val="en-US" w:eastAsia="zh-CN"/>
        </w:rPr>
        <w:t>。</w:t>
      </w:r>
    </w:p>
    <w:p w14:paraId="38F84620">
      <w:pPr>
        <w:pStyle w:val="2"/>
        <w:ind w:firstLine="640" w:firstLineChars="200"/>
        <w:rPr>
          <w:rFonts w:hint="eastAsia" w:ascii="仿宋_GB2312" w:hAnsi="仿宋_GB2312" w:eastAsia="仿宋_GB2312" w:cs="仿宋_GB2312"/>
          <w:color w:val="auto"/>
          <w:kern w:val="0"/>
          <w:sz w:val="32"/>
          <w:szCs w:val="32"/>
          <w:u w:val="none" w:color="auto"/>
          <w:lang w:val="en-US" w:eastAsia="zh-CN" w:bidi="ar-SA"/>
        </w:rPr>
      </w:pPr>
      <w:r>
        <w:rPr>
          <w:rFonts w:hint="eastAsia" w:ascii="仿宋_GB2312" w:hAnsi="仿宋_GB2312" w:eastAsia="仿宋_GB2312" w:cs="仿宋_GB2312"/>
          <w:color w:val="auto"/>
          <w:kern w:val="0"/>
          <w:sz w:val="32"/>
          <w:szCs w:val="32"/>
          <w:u w:val="none" w:color="auto"/>
          <w:lang w:val="en-US" w:eastAsia="zh-CN" w:bidi="ar-SA"/>
        </w:rPr>
        <w:t>针对当事人</w:t>
      </w:r>
      <w:r>
        <w:rPr>
          <w:rFonts w:hint="eastAsia" w:ascii="仿宋_GB2312" w:hAnsi="仿宋_GB2312" w:eastAsia="仿宋_GB2312" w:cs="仿宋_GB2312"/>
          <w:bCs/>
          <w:color w:val="auto"/>
          <w:sz w:val="32"/>
          <w:szCs w:val="32"/>
          <w:highlight w:val="none"/>
          <w:lang w:eastAsia="zh-CN"/>
        </w:rPr>
        <w:t>未</w:t>
      </w:r>
      <w:r>
        <w:rPr>
          <w:rFonts w:hint="eastAsia" w:ascii="仿宋_GB2312" w:hAnsi="仿宋_GB2312" w:eastAsia="仿宋_GB2312" w:cs="仿宋_GB2312"/>
          <w:bCs/>
          <w:color w:val="auto"/>
          <w:sz w:val="32"/>
          <w:szCs w:val="32"/>
          <w:lang w:eastAsia="zh-CN"/>
        </w:rPr>
        <w:t>取得小餐饮登记证从事小餐饮经营活动</w:t>
      </w:r>
      <w:r>
        <w:rPr>
          <w:rFonts w:hint="eastAsia" w:ascii="仿宋_GB2312" w:hAnsi="仿宋_GB2312" w:eastAsia="仿宋_GB2312" w:cs="仿宋_GB2312"/>
          <w:color w:val="auto"/>
          <w:sz w:val="32"/>
          <w:szCs w:val="32"/>
          <w:highlight w:val="none"/>
          <w:lang w:eastAsia="zh-CN"/>
        </w:rPr>
        <w:t>的行为，</w:t>
      </w:r>
      <w:r>
        <w:rPr>
          <w:rFonts w:hint="eastAsia" w:ascii="仿宋_GB2312" w:hAnsi="仿宋_GB2312" w:eastAsia="仿宋_GB2312" w:cs="仿宋_GB2312"/>
          <w:color w:val="auto"/>
          <w:kern w:val="0"/>
          <w:sz w:val="32"/>
          <w:szCs w:val="32"/>
          <w:u w:val="none" w:color="auto"/>
          <w:lang w:val="en-US" w:eastAsia="zh-CN" w:bidi="ar-SA"/>
        </w:rPr>
        <w:t>我局执法人员于2026年5月7日对当事人下达了《当场行政处罚决定书》（柳北市监当罚[2026]49号），对当事人作出警告的行政处罚并责令当事人在2026年5月20日前改正上述违法行为。我局执法人员于2026年5月21日对当事人经营场所进行复查时，当事人仍旧未取得小餐饮登记证从事小餐饮经营活动，属于逾期不改正的情形。当事人在案件调查过程中积极配合，主动提供营业执照等证据材料，如实陈述违法事实，具有市场监管总局《关于规范市场监督管理行政处罚裁量权的指导意见》第十四条第一款第二项规定的依法从轻或者减轻行政处罚的情形。依据《中华人民共和国行政处罚法》第五条</w:t>
      </w:r>
      <w:r>
        <w:rPr>
          <w:rFonts w:hint="eastAsia" w:ascii="仿宋_GB2312" w:hAnsi="仿宋_GB2312" w:eastAsia="仿宋_GB2312" w:cs="仿宋_GB2312"/>
          <w:color w:val="auto"/>
          <w:kern w:val="0"/>
          <w:sz w:val="32"/>
          <w:szCs w:val="32"/>
          <w:u w:val="none" w:color="auto"/>
          <w:lang w:val="zh-CN" w:eastAsia="zh-CN" w:bidi="ar-SA"/>
        </w:rPr>
        <w:t>、第六条</w:t>
      </w:r>
      <w:r>
        <w:rPr>
          <w:rFonts w:hint="eastAsia" w:ascii="仿宋_GB2312" w:hAnsi="仿宋_GB2312" w:eastAsia="仿宋_GB2312" w:cs="仿宋_GB2312"/>
          <w:color w:val="auto"/>
          <w:kern w:val="0"/>
          <w:sz w:val="32"/>
          <w:szCs w:val="32"/>
          <w:u w:val="none" w:color="auto"/>
          <w:lang w:val="en-US" w:eastAsia="zh-CN" w:bidi="ar-SA"/>
        </w:rPr>
        <w:t>的规定，</w:t>
      </w:r>
      <w:r>
        <w:rPr>
          <w:rFonts w:hint="eastAsia" w:hAnsi="仿宋_GB2312" w:cs="仿宋_GB2312"/>
          <w:color w:val="auto"/>
          <w:kern w:val="0"/>
          <w:sz w:val="32"/>
          <w:szCs w:val="32"/>
          <w:u w:val="none" w:color="auto"/>
          <w:lang w:val="en-US" w:eastAsia="zh-CN" w:bidi="ar-SA"/>
        </w:rPr>
        <w:t>我局决定</w:t>
      </w:r>
      <w:r>
        <w:rPr>
          <w:rFonts w:hint="eastAsia" w:ascii="仿宋_GB2312" w:hAnsi="仿宋_GB2312" w:eastAsia="仿宋_GB2312" w:cs="仿宋_GB2312"/>
          <w:color w:val="auto"/>
          <w:kern w:val="0"/>
          <w:sz w:val="32"/>
          <w:szCs w:val="32"/>
          <w:u w:val="none" w:color="auto"/>
          <w:lang w:val="en-US" w:eastAsia="zh-CN" w:bidi="ar-SA"/>
        </w:rPr>
        <w:t>对当事人从轻行政处罚。</w:t>
      </w:r>
    </w:p>
    <w:p w14:paraId="56F62506">
      <w:pPr>
        <w:keepNext w:val="0"/>
        <w:keepLines w:val="0"/>
        <w:pageBreakBefore w:val="0"/>
        <w:widowControl w:val="0"/>
        <w:numPr>
          <w:ilvl w:val="0"/>
          <w:numId w:val="0"/>
        </w:numPr>
        <w:kinsoku/>
        <w:wordWrap/>
        <w:overflowPunct/>
        <w:topLinePunct w:val="0"/>
        <w:bidi w:val="0"/>
        <w:snapToGrid/>
        <w:spacing w:line="500" w:lineRule="exact"/>
        <w:ind w:right="0" w:righ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依据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u w:val="none" w:color="auto"/>
          <w:lang w:val="en-US" w:eastAsia="zh-CN" w:bidi="ar-SA"/>
        </w:rPr>
        <w:t>广西壮族自治区食品小作坊小餐饮和食品摊贩管理条例</w:t>
      </w:r>
      <w:r>
        <w:rPr>
          <w:rFonts w:hint="eastAsia" w:ascii="仿宋_GB2312" w:hAnsi="仿宋_GB2312" w:eastAsia="仿宋_GB2312" w:cs="仿宋_GB2312"/>
          <w:color w:val="auto"/>
          <w:sz w:val="32"/>
          <w:szCs w:val="32"/>
          <w:highlight w:val="none"/>
          <w:lang w:eastAsia="zh-CN"/>
        </w:rPr>
        <w:t>》第三十七条</w:t>
      </w:r>
      <w:r>
        <w:rPr>
          <w:rFonts w:hint="eastAsia" w:ascii="仿宋_GB2312" w:hAnsi="仿宋_GB2312" w:eastAsia="仿宋_GB2312" w:cs="仿宋_GB2312"/>
          <w:bCs/>
          <w:strike w:val="0"/>
          <w:dstrike w:val="0"/>
          <w:color w:val="auto"/>
          <w:sz w:val="32"/>
          <w:szCs w:val="32"/>
          <w:u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《中华人民共和国行政处罚法》第二十八条</w:t>
      </w:r>
      <w:r>
        <w:rPr>
          <w:rFonts w:hint="eastAsia" w:ascii="仿宋_GB2312" w:hAnsi="仿宋_GB2312" w:eastAsia="仿宋_GB2312" w:cs="仿宋_GB2312"/>
          <w:color w:val="auto"/>
          <w:sz w:val="32"/>
          <w:szCs w:val="32"/>
          <w:lang w:val="en-US" w:eastAsia="zh-CN"/>
        </w:rPr>
        <w:t>第一款</w:t>
      </w:r>
      <w:r>
        <w:rPr>
          <w:rFonts w:hint="eastAsia" w:ascii="仿宋_GB2312" w:hAnsi="仿宋_GB2312" w:eastAsia="仿宋_GB2312" w:cs="仿宋_GB2312"/>
          <w:b w:val="0"/>
          <w:bCs w:val="0"/>
          <w:color w:val="auto"/>
          <w:sz w:val="32"/>
          <w:szCs w:val="32"/>
          <w:highlight w:val="none"/>
          <w:lang w:val="en-US" w:eastAsia="zh-CN"/>
        </w:rPr>
        <w:t>的规定，我局决定责令当事人立即改正上述违法行为，并给予罚款2000元的行政处罚。</w:t>
      </w:r>
    </w:p>
    <w:p w14:paraId="37E91A98">
      <w:pPr>
        <w:pStyle w:val="2"/>
        <w:ind w:firstLine="640" w:firstLineChars="200"/>
        <w:rPr>
          <w:rFonts w:hint="eastAsia" w:ascii="仿宋_GB2312" w:hAnsi="仿宋_GB2312" w:eastAsia="仿宋_GB2312" w:cs="仿宋_GB2312"/>
          <w:bCs/>
          <w:strike w:val="0"/>
          <w:dstrike w:val="0"/>
          <w:color w:val="auto"/>
          <w:sz w:val="32"/>
          <w:szCs w:val="32"/>
          <w:lang w:val="en-US" w:eastAsia="zh-CN"/>
        </w:rPr>
      </w:pPr>
      <w:r>
        <w:rPr>
          <w:rFonts w:hint="eastAsia" w:ascii="仿宋_GB2312" w:hAnsi="仿宋_GB2312" w:eastAsia="仿宋_GB2312" w:cs="仿宋_GB2312"/>
          <w:color w:val="auto"/>
          <w:sz w:val="32"/>
          <w:szCs w:val="32"/>
          <w:u w:val="none"/>
        </w:rPr>
        <w:t>当事人应当自收到本行政处罚决定书之日起十五日内，凭《广西壮族自治区非税收入电子缴款通知书》到中国建设银行缴纳</w:t>
      </w:r>
      <w:r>
        <w:rPr>
          <w:rFonts w:hint="eastAsia" w:ascii="仿宋_GB2312" w:hAnsi="仿宋_GB2312" w:eastAsia="仿宋_GB2312" w:cs="仿宋_GB2312"/>
          <w:color w:val="auto"/>
          <w:sz w:val="32"/>
          <w:szCs w:val="32"/>
          <w:u w:val="none"/>
          <w:lang w:eastAsia="zh-CN"/>
        </w:rPr>
        <w:t>上述款项</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逾</w:t>
      </w:r>
      <w:r>
        <w:rPr>
          <w:rFonts w:hint="eastAsia" w:ascii="仿宋_GB2312" w:hAnsi="仿宋_GB2312" w:eastAsia="仿宋_GB2312" w:cs="仿宋_GB2312"/>
          <w:color w:val="auto"/>
          <w:sz w:val="32"/>
          <w:szCs w:val="32"/>
          <w:u w:val="none"/>
        </w:rPr>
        <w:t>期不缴纳</w:t>
      </w:r>
      <w:r>
        <w:rPr>
          <w:rFonts w:hint="eastAsia" w:hAnsi="仿宋_GB2312" w:cs="仿宋_GB2312"/>
          <w:color w:val="auto"/>
          <w:sz w:val="32"/>
          <w:szCs w:val="32"/>
          <w:u w:val="none"/>
          <w:lang w:eastAsia="zh-CN"/>
        </w:rPr>
        <w:t>罚款</w:t>
      </w:r>
      <w:r>
        <w:rPr>
          <w:rFonts w:hint="eastAsia" w:ascii="仿宋_GB2312" w:hAnsi="仿宋_GB2312" w:eastAsia="仿宋_GB2312" w:cs="仿宋_GB2312"/>
          <w:color w:val="auto"/>
          <w:sz w:val="32"/>
          <w:szCs w:val="32"/>
          <w:u w:val="none"/>
        </w:rPr>
        <w:t>的，依据《中华人民共和国行政处罚法》</w:t>
      </w:r>
      <w:r>
        <w:rPr>
          <w:rFonts w:hint="eastAsia" w:ascii="仿宋_GB2312" w:hAnsi="仿宋_GB2312" w:eastAsia="仿宋_GB2312" w:cs="仿宋_GB2312"/>
          <w:color w:val="auto"/>
          <w:kern w:val="0"/>
          <w:sz w:val="32"/>
          <w:szCs w:val="32"/>
          <w:u w:val="none"/>
          <w:lang w:val="en-US" w:eastAsia="zh-CN" w:bidi="ar"/>
        </w:rPr>
        <w:t>第七十二条</w:t>
      </w:r>
      <w:r>
        <w:rPr>
          <w:rFonts w:hint="eastAsia" w:ascii="仿宋_GB2312" w:hAnsi="仿宋_GB2312" w:eastAsia="仿宋_GB2312" w:cs="仿宋_GB2312"/>
          <w:color w:val="auto"/>
          <w:sz w:val="32"/>
          <w:szCs w:val="32"/>
          <w:u w:val="none"/>
        </w:rPr>
        <w:t>的规定，我局将</w:t>
      </w:r>
      <w:r>
        <w:rPr>
          <w:rFonts w:hint="eastAsia" w:ascii="仿宋_GB2312" w:hAnsi="仿宋_GB2312" w:eastAsia="仿宋_GB2312" w:cs="仿宋_GB2312"/>
          <w:bCs/>
          <w:color w:val="auto"/>
          <w:sz w:val="32"/>
          <w:szCs w:val="32"/>
          <w:u w:val="none"/>
        </w:rPr>
        <w:t>每日按罚款数额的百分之三加处罚款，并</w:t>
      </w:r>
      <w:r>
        <w:rPr>
          <w:rFonts w:hint="eastAsia" w:ascii="仿宋_GB2312" w:hAnsi="仿宋_GB2312" w:eastAsia="仿宋_GB2312" w:cs="仿宋_GB2312"/>
          <w:color w:val="auto"/>
          <w:sz w:val="32"/>
          <w:szCs w:val="32"/>
          <w:u w:val="none"/>
        </w:rPr>
        <w:t>依法申请人民法院强制执行</w:t>
      </w:r>
      <w:r>
        <w:rPr>
          <w:rFonts w:hint="eastAsia" w:hAnsi="仿宋_GB2312" w:cs="仿宋_GB2312"/>
          <w:color w:val="auto"/>
          <w:sz w:val="32"/>
          <w:szCs w:val="32"/>
          <w:u w:val="none"/>
          <w:lang w:eastAsia="zh-CN"/>
        </w:rPr>
        <w:t>。</w:t>
      </w:r>
    </w:p>
    <w:p w14:paraId="7E191714">
      <w:pPr>
        <w:pStyle w:val="2"/>
        <w:keepNext w:val="0"/>
        <w:keepLines w:val="0"/>
        <w:pageBreakBefore w:val="0"/>
        <w:widowControl w:val="0"/>
        <w:kinsoku/>
        <w:wordWrap/>
        <w:overflowPunct/>
        <w:topLinePunct w:val="0"/>
        <w:bidi w:val="0"/>
        <w:snapToGrid/>
        <w:spacing w:line="480"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u w:val="none" w:color="auto"/>
          <w:lang w:val="en-US" w:eastAsia="zh-CN"/>
        </w:rPr>
        <w:t>当事人如不服本行政处罚决定，可以在接到本行政处罚决定书之日起六十日内向柳州市柳北区人民政府申请行政复议；也可以在六个月内依法向柳州市柳南区人民法院提起行政诉讼。申请行政复议或者提起行政诉讼期间，行政处罚不停止执行。</w:t>
      </w:r>
    </w:p>
    <w:p w14:paraId="63F50276">
      <w:pPr>
        <w:pStyle w:val="2"/>
        <w:keepNext w:val="0"/>
        <w:keepLines w:val="0"/>
        <w:pageBreakBefore w:val="0"/>
        <w:widowControl w:val="0"/>
        <w:kinsoku/>
        <w:wordWrap/>
        <w:overflowPunct/>
        <w:topLinePunct w:val="0"/>
        <w:bidi w:val="0"/>
        <w:snapToGrid/>
        <w:spacing w:line="480" w:lineRule="exact"/>
        <w:ind w:left="0" w:leftChars="0"/>
        <w:rPr>
          <w:rFonts w:hint="eastAsia"/>
          <w:color w:val="auto"/>
          <w:lang w:val="en-US" w:eastAsia="zh-CN"/>
        </w:rPr>
      </w:pPr>
    </w:p>
    <w:p w14:paraId="7C65ABB9">
      <w:pPr>
        <w:pStyle w:val="2"/>
        <w:keepNext w:val="0"/>
        <w:keepLines w:val="0"/>
        <w:pageBreakBefore w:val="0"/>
        <w:widowControl w:val="0"/>
        <w:kinsoku/>
        <w:wordWrap/>
        <w:overflowPunct/>
        <w:topLinePunct w:val="0"/>
        <w:bidi w:val="0"/>
        <w:snapToGrid/>
        <w:spacing w:line="480" w:lineRule="exact"/>
        <w:ind w:left="0" w:leftChars="0"/>
        <w:rPr>
          <w:rFonts w:hint="eastAsia"/>
          <w:color w:val="auto"/>
          <w:lang w:val="en-US" w:eastAsia="zh-CN"/>
        </w:rPr>
      </w:pPr>
    </w:p>
    <w:p w14:paraId="54F8AC98">
      <w:pPr>
        <w:keepNext w:val="0"/>
        <w:keepLines w:val="0"/>
        <w:pageBreakBefore w:val="0"/>
        <w:widowControl w:val="0"/>
        <w:kinsoku/>
        <w:wordWrap/>
        <w:overflowPunct/>
        <w:topLinePunct w:val="0"/>
        <w:autoSpaceDE/>
        <w:autoSpaceDN/>
        <w:bidi w:val="0"/>
        <w:snapToGrid/>
        <w:spacing w:line="480" w:lineRule="exact"/>
        <w:ind w:firstLine="4480" w:firstLineChars="140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柳州市柳北区市场监督管理局</w:t>
      </w:r>
    </w:p>
    <w:p w14:paraId="7663C45C">
      <w:pPr>
        <w:keepNext w:val="0"/>
        <w:keepLines w:val="0"/>
        <w:pageBreakBefore w:val="0"/>
        <w:widowControl w:val="0"/>
        <w:kinsoku/>
        <w:wordWrap/>
        <w:overflowPunct/>
        <w:topLinePunct w:val="0"/>
        <w:autoSpaceDE/>
        <w:autoSpaceDN/>
        <w:bidi w:val="0"/>
        <w:snapToGrid/>
        <w:spacing w:line="480" w:lineRule="exact"/>
        <w:ind w:firstLine="640" w:firstLineChars="20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lang w:eastAsia="zh-CN"/>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lang w:eastAsia="zh-CN"/>
        </w:rPr>
        <w:t>月</w:t>
      </w:r>
      <w:r>
        <w:rPr>
          <w:rFonts w:hint="eastAsia" w:ascii="仿宋_GB2312" w:hAnsi="仿宋_GB2312" w:eastAsia="仿宋_GB2312" w:cs="仿宋_GB2312"/>
          <w:color w:val="auto"/>
          <w:sz w:val="32"/>
          <w:szCs w:val="32"/>
          <w:u w:val="none"/>
          <w:lang w:val="en-US" w:eastAsia="zh-CN"/>
        </w:rPr>
        <w:t>20</w:t>
      </w:r>
      <w:r>
        <w:rPr>
          <w:rFonts w:hint="eastAsia" w:ascii="仿宋_GB2312" w:hAnsi="仿宋_GB2312" w:eastAsia="仿宋_GB2312" w:cs="仿宋_GB2312"/>
          <w:color w:val="auto"/>
          <w:sz w:val="32"/>
          <w:szCs w:val="32"/>
          <w:u w:val="none"/>
          <w:lang w:eastAsia="zh-CN"/>
        </w:rPr>
        <w:t>日</w:t>
      </w:r>
    </w:p>
    <w:p w14:paraId="52B10025">
      <w:pPr>
        <w:keepNext w:val="0"/>
        <w:keepLines w:val="0"/>
        <w:pageBreakBefore w:val="0"/>
        <w:widowControl w:val="0"/>
        <w:kinsoku/>
        <w:wordWrap/>
        <w:overflowPunct/>
        <w:topLinePunct w:val="0"/>
        <w:autoSpaceDE/>
        <w:autoSpaceDN/>
        <w:bidi w:val="0"/>
        <w:snapToGrid/>
        <w:spacing w:line="440" w:lineRule="exact"/>
        <w:ind w:firstLine="640" w:firstLineChars="200"/>
        <w:jc w:val="left"/>
        <w:rPr>
          <w:rFonts w:hint="eastAsia" w:ascii="仿宋_GB2312" w:hAnsi="仿宋_GB2312" w:eastAsia="仿宋_GB2312" w:cs="仿宋_GB2312"/>
          <w:color w:val="auto"/>
          <w:sz w:val="32"/>
          <w:szCs w:val="32"/>
          <w:u w:val="none"/>
          <w:lang w:eastAsia="zh-CN"/>
        </w:rPr>
      </w:pPr>
    </w:p>
    <w:p w14:paraId="1A6F2397">
      <w:pPr>
        <w:pStyle w:val="2"/>
        <w:rPr>
          <w:rFonts w:hint="eastAsia" w:ascii="仿宋_GB2312" w:hAnsi="仿宋_GB2312" w:eastAsia="仿宋_GB2312" w:cs="仿宋_GB2312"/>
          <w:color w:val="auto"/>
          <w:sz w:val="32"/>
          <w:szCs w:val="32"/>
        </w:rPr>
      </w:pPr>
    </w:p>
    <w:p w14:paraId="6FBDA973">
      <w:pPr>
        <w:keepNext w:val="0"/>
        <w:keepLines w:val="0"/>
        <w:pageBreakBefore w:val="0"/>
        <w:widowControl w:val="0"/>
        <w:kinsoku/>
        <w:wordWrap/>
        <w:overflowPunct/>
        <w:topLinePunct w:val="0"/>
        <w:autoSpaceDE/>
        <w:autoSpaceDN/>
        <w:bidi w:val="0"/>
        <w:adjustRightInd/>
        <w:snapToGrid/>
        <w:spacing w:line="48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lang w:eastAsia="zh-CN"/>
        </w:rPr>
        <w:t>（市场监督管理部门将依法向社会公开行政处罚决定信息）</w:t>
      </w:r>
    </w:p>
    <w:p w14:paraId="115B875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rPr>
      </w:pPr>
      <w:r>
        <w:rPr>
          <w:color w:val="auto"/>
          <w:sz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60288;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Dyi0wAAAAcBAAAPAAAAAAAAAAEAIAAAACIAAABkcnMvZG93bnJldi54bWxQ&#10;SwECFAAUAAAACACHTuJAsSI0PP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lang w:eastAsia="zh-CN"/>
        </w:rPr>
        <w:t>本文书一式三份，一份送达，一份归档</w:t>
      </w:r>
      <w:r>
        <w:rPr>
          <w:rFonts w:hint="eastAsia" w:ascii="仿宋_GB2312" w:hAnsi="仿宋_GB2312" w:eastAsia="仿宋_GB2312" w:cs="仿宋_GB2312"/>
          <w:color w:val="auto"/>
          <w:sz w:val="32"/>
          <w:szCs w:val="32"/>
        </w:rPr>
        <w:t>，一份</w:t>
      </w:r>
      <w:r>
        <w:rPr>
          <w:rFonts w:hint="eastAsia" w:ascii="仿宋_GB2312" w:hAnsi="仿宋_GB2312" w:eastAsia="仿宋_GB2312" w:cs="仿宋_GB2312"/>
          <w:color w:val="auto"/>
          <w:sz w:val="32"/>
          <w:szCs w:val="32"/>
          <w:lang w:eastAsia="zh-CN"/>
        </w:rPr>
        <w:t>办案机构</w:t>
      </w:r>
      <w:r>
        <w:rPr>
          <w:rFonts w:hint="eastAsia" w:ascii="仿宋_GB2312" w:hAnsi="仿宋_GB2312" w:eastAsia="仿宋_GB2312" w:cs="仿宋_GB2312"/>
          <w:color w:val="auto"/>
          <w:sz w:val="32"/>
          <w:szCs w:val="32"/>
        </w:rPr>
        <w:t>留存</w:t>
      </w:r>
      <w:r>
        <w:rPr>
          <w:rFonts w:hint="eastAsia" w:ascii="仿宋_GB2312" w:hAnsi="仿宋_GB2312" w:eastAsia="仿宋_GB2312" w:cs="仿宋_GB2312"/>
          <w:color w:val="auto"/>
          <w:sz w:val="32"/>
          <w:szCs w:val="32"/>
          <w:lang w:eastAsia="zh-CN"/>
        </w:rPr>
        <w:t>。</w:t>
      </w:r>
    </w:p>
    <w:sectPr>
      <w:headerReference r:id="rId3" w:type="default"/>
      <w:footerReference r:id="rId4" w:type="default"/>
      <w:pgSz w:w="11906" w:h="16838"/>
      <w:pgMar w:top="1247" w:right="1417" w:bottom="1304" w:left="1417"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7987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B72542">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5CB72542">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9128">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841dd4c2-fca9-4166-9264-b220990a38a4"/>
  </w:docVars>
  <w:rsids>
    <w:rsidRoot w:val="148273E2"/>
    <w:rsid w:val="000065F5"/>
    <w:rsid w:val="0004512F"/>
    <w:rsid w:val="00083C83"/>
    <w:rsid w:val="000B341C"/>
    <w:rsid w:val="001012C9"/>
    <w:rsid w:val="00142F2C"/>
    <w:rsid w:val="001C0503"/>
    <w:rsid w:val="00211B0C"/>
    <w:rsid w:val="00255EEE"/>
    <w:rsid w:val="002C2FAA"/>
    <w:rsid w:val="00357DAF"/>
    <w:rsid w:val="0036662C"/>
    <w:rsid w:val="00463B38"/>
    <w:rsid w:val="004B6721"/>
    <w:rsid w:val="00574F12"/>
    <w:rsid w:val="005E199B"/>
    <w:rsid w:val="005E309F"/>
    <w:rsid w:val="005F5BA5"/>
    <w:rsid w:val="006A6CB1"/>
    <w:rsid w:val="006C0007"/>
    <w:rsid w:val="006E7533"/>
    <w:rsid w:val="00704B12"/>
    <w:rsid w:val="0072741A"/>
    <w:rsid w:val="0074190D"/>
    <w:rsid w:val="00771A9E"/>
    <w:rsid w:val="0079623E"/>
    <w:rsid w:val="00817650"/>
    <w:rsid w:val="008739FF"/>
    <w:rsid w:val="008A0974"/>
    <w:rsid w:val="00955ECE"/>
    <w:rsid w:val="009C3AF3"/>
    <w:rsid w:val="00A62EC1"/>
    <w:rsid w:val="00B91F48"/>
    <w:rsid w:val="00BC4BAE"/>
    <w:rsid w:val="00BE07B0"/>
    <w:rsid w:val="00BE5339"/>
    <w:rsid w:val="00D05A34"/>
    <w:rsid w:val="00D82DEA"/>
    <w:rsid w:val="00D866B1"/>
    <w:rsid w:val="00DB475D"/>
    <w:rsid w:val="00DD449C"/>
    <w:rsid w:val="00DD743A"/>
    <w:rsid w:val="00E3129E"/>
    <w:rsid w:val="00EA4461"/>
    <w:rsid w:val="00F26908"/>
    <w:rsid w:val="00FC6549"/>
    <w:rsid w:val="00FD11C5"/>
    <w:rsid w:val="00FE2746"/>
    <w:rsid w:val="017862EE"/>
    <w:rsid w:val="01F12741"/>
    <w:rsid w:val="0328798D"/>
    <w:rsid w:val="04392B35"/>
    <w:rsid w:val="04751BF1"/>
    <w:rsid w:val="062A0A13"/>
    <w:rsid w:val="06F651DB"/>
    <w:rsid w:val="06FA6137"/>
    <w:rsid w:val="07C95455"/>
    <w:rsid w:val="08E602F7"/>
    <w:rsid w:val="09611CF3"/>
    <w:rsid w:val="0CB213C1"/>
    <w:rsid w:val="0CB74E19"/>
    <w:rsid w:val="0CF872FB"/>
    <w:rsid w:val="0D6177ED"/>
    <w:rsid w:val="0DA71FDE"/>
    <w:rsid w:val="0DBF10BD"/>
    <w:rsid w:val="0E803A75"/>
    <w:rsid w:val="0F7605E9"/>
    <w:rsid w:val="113B479A"/>
    <w:rsid w:val="117B63A4"/>
    <w:rsid w:val="11BD5D75"/>
    <w:rsid w:val="134617C9"/>
    <w:rsid w:val="13F30D47"/>
    <w:rsid w:val="14277F1E"/>
    <w:rsid w:val="1473140B"/>
    <w:rsid w:val="148273E2"/>
    <w:rsid w:val="1595472F"/>
    <w:rsid w:val="15AA17EA"/>
    <w:rsid w:val="169C3433"/>
    <w:rsid w:val="17E1120B"/>
    <w:rsid w:val="184F057B"/>
    <w:rsid w:val="186B5DC5"/>
    <w:rsid w:val="18EF05CB"/>
    <w:rsid w:val="1A745652"/>
    <w:rsid w:val="1AA55913"/>
    <w:rsid w:val="1AAB7A25"/>
    <w:rsid w:val="1B8A02C6"/>
    <w:rsid w:val="1C0F2E75"/>
    <w:rsid w:val="1C191BC6"/>
    <w:rsid w:val="1C220723"/>
    <w:rsid w:val="1CB15DE2"/>
    <w:rsid w:val="1E376B1E"/>
    <w:rsid w:val="1EB96323"/>
    <w:rsid w:val="1F352136"/>
    <w:rsid w:val="1F3603BC"/>
    <w:rsid w:val="1F3E2D68"/>
    <w:rsid w:val="1F4D1EE3"/>
    <w:rsid w:val="1F9E445E"/>
    <w:rsid w:val="1FED1911"/>
    <w:rsid w:val="20125CE0"/>
    <w:rsid w:val="20154E0E"/>
    <w:rsid w:val="208244E5"/>
    <w:rsid w:val="209122D7"/>
    <w:rsid w:val="2103322C"/>
    <w:rsid w:val="23383DAC"/>
    <w:rsid w:val="23E34743"/>
    <w:rsid w:val="24E55852"/>
    <w:rsid w:val="255D34FA"/>
    <w:rsid w:val="25912C02"/>
    <w:rsid w:val="26603C6E"/>
    <w:rsid w:val="26A36964"/>
    <w:rsid w:val="26B87CE7"/>
    <w:rsid w:val="27D00EE0"/>
    <w:rsid w:val="27D34EBD"/>
    <w:rsid w:val="2941559E"/>
    <w:rsid w:val="29581DDE"/>
    <w:rsid w:val="297B6BA3"/>
    <w:rsid w:val="299E6AAB"/>
    <w:rsid w:val="29A4154C"/>
    <w:rsid w:val="2A7A5040"/>
    <w:rsid w:val="2AFD6B9E"/>
    <w:rsid w:val="2B155476"/>
    <w:rsid w:val="2B157B4F"/>
    <w:rsid w:val="2B424F07"/>
    <w:rsid w:val="2C13787F"/>
    <w:rsid w:val="2C421DD7"/>
    <w:rsid w:val="2C7F6960"/>
    <w:rsid w:val="2CA70D16"/>
    <w:rsid w:val="2CF1764D"/>
    <w:rsid w:val="2D002F4F"/>
    <w:rsid w:val="2D1C6BF7"/>
    <w:rsid w:val="2E6F5DB2"/>
    <w:rsid w:val="30BD5513"/>
    <w:rsid w:val="30E338A2"/>
    <w:rsid w:val="31091780"/>
    <w:rsid w:val="31DC529A"/>
    <w:rsid w:val="323E5D53"/>
    <w:rsid w:val="34243D12"/>
    <w:rsid w:val="35FC3C1B"/>
    <w:rsid w:val="371F7D71"/>
    <w:rsid w:val="37EF7C5B"/>
    <w:rsid w:val="390D0746"/>
    <w:rsid w:val="39794D00"/>
    <w:rsid w:val="3A782F8A"/>
    <w:rsid w:val="3C297ADF"/>
    <w:rsid w:val="3DE333C0"/>
    <w:rsid w:val="3DE843F8"/>
    <w:rsid w:val="3E376AA4"/>
    <w:rsid w:val="3E5354C4"/>
    <w:rsid w:val="3EBB37DF"/>
    <w:rsid w:val="3F2A4B8B"/>
    <w:rsid w:val="403D16C2"/>
    <w:rsid w:val="41711ECE"/>
    <w:rsid w:val="41DF1A8D"/>
    <w:rsid w:val="4257288A"/>
    <w:rsid w:val="433340CF"/>
    <w:rsid w:val="43FA7BFE"/>
    <w:rsid w:val="44C07632"/>
    <w:rsid w:val="451218A7"/>
    <w:rsid w:val="461F1F60"/>
    <w:rsid w:val="46943C0F"/>
    <w:rsid w:val="47EC3EAF"/>
    <w:rsid w:val="4A207916"/>
    <w:rsid w:val="4A4D113D"/>
    <w:rsid w:val="4C2B4DFE"/>
    <w:rsid w:val="4C3E6663"/>
    <w:rsid w:val="4DA93FB0"/>
    <w:rsid w:val="4DD5222C"/>
    <w:rsid w:val="4E6B3369"/>
    <w:rsid w:val="4EB80EAB"/>
    <w:rsid w:val="4F3E18EA"/>
    <w:rsid w:val="4F7324E1"/>
    <w:rsid w:val="4FD74F00"/>
    <w:rsid w:val="4FEB2D6E"/>
    <w:rsid w:val="503468E2"/>
    <w:rsid w:val="5151276C"/>
    <w:rsid w:val="51A716B6"/>
    <w:rsid w:val="51E62234"/>
    <w:rsid w:val="53A52B59"/>
    <w:rsid w:val="53E923EE"/>
    <w:rsid w:val="53FC7230"/>
    <w:rsid w:val="544E6F61"/>
    <w:rsid w:val="5473232C"/>
    <w:rsid w:val="549E3B5B"/>
    <w:rsid w:val="55763B22"/>
    <w:rsid w:val="55BA5430"/>
    <w:rsid w:val="56D63107"/>
    <w:rsid w:val="574B68BA"/>
    <w:rsid w:val="57B61447"/>
    <w:rsid w:val="582740A9"/>
    <w:rsid w:val="592077C9"/>
    <w:rsid w:val="597A3332"/>
    <w:rsid w:val="599F5B19"/>
    <w:rsid w:val="5A1C4013"/>
    <w:rsid w:val="5AFF3EF1"/>
    <w:rsid w:val="5B343756"/>
    <w:rsid w:val="5CBD218A"/>
    <w:rsid w:val="5CC36333"/>
    <w:rsid w:val="5D275EBF"/>
    <w:rsid w:val="5EC865B0"/>
    <w:rsid w:val="5F9F2A6C"/>
    <w:rsid w:val="61544F71"/>
    <w:rsid w:val="61B40B70"/>
    <w:rsid w:val="61E70572"/>
    <w:rsid w:val="637F3FE6"/>
    <w:rsid w:val="63E72995"/>
    <w:rsid w:val="657D4ABD"/>
    <w:rsid w:val="659356E0"/>
    <w:rsid w:val="65C32D01"/>
    <w:rsid w:val="67261A9A"/>
    <w:rsid w:val="67C96ED8"/>
    <w:rsid w:val="688A1A9D"/>
    <w:rsid w:val="68FF6B48"/>
    <w:rsid w:val="691D477F"/>
    <w:rsid w:val="699E35BB"/>
    <w:rsid w:val="6A014483"/>
    <w:rsid w:val="6A19339F"/>
    <w:rsid w:val="6A22066F"/>
    <w:rsid w:val="6A3A7FB1"/>
    <w:rsid w:val="6AE63EBF"/>
    <w:rsid w:val="6C0F4EEF"/>
    <w:rsid w:val="6C5808AF"/>
    <w:rsid w:val="6CE3459B"/>
    <w:rsid w:val="6EEE43BE"/>
    <w:rsid w:val="6F7B3B73"/>
    <w:rsid w:val="6F855001"/>
    <w:rsid w:val="6FB73C30"/>
    <w:rsid w:val="6FCB74A9"/>
    <w:rsid w:val="70966D10"/>
    <w:rsid w:val="70A73F1B"/>
    <w:rsid w:val="70A82C64"/>
    <w:rsid w:val="7135211F"/>
    <w:rsid w:val="71365A01"/>
    <w:rsid w:val="71A06C04"/>
    <w:rsid w:val="71E87DE7"/>
    <w:rsid w:val="71F667BD"/>
    <w:rsid w:val="72175D9C"/>
    <w:rsid w:val="72A509A5"/>
    <w:rsid w:val="72D355FA"/>
    <w:rsid w:val="73127625"/>
    <w:rsid w:val="73AA52D4"/>
    <w:rsid w:val="73DE1526"/>
    <w:rsid w:val="74BE07C3"/>
    <w:rsid w:val="74CD4654"/>
    <w:rsid w:val="77EB7D5B"/>
    <w:rsid w:val="780B0124"/>
    <w:rsid w:val="78414B3A"/>
    <w:rsid w:val="785D036F"/>
    <w:rsid w:val="787616BF"/>
    <w:rsid w:val="790C18B2"/>
    <w:rsid w:val="79714248"/>
    <w:rsid w:val="798A2050"/>
    <w:rsid w:val="79965BD7"/>
    <w:rsid w:val="7A420DE6"/>
    <w:rsid w:val="7A69737E"/>
    <w:rsid w:val="7A9F6060"/>
    <w:rsid w:val="7AB81C3A"/>
    <w:rsid w:val="7B3A48B6"/>
    <w:rsid w:val="7C0C2E6D"/>
    <w:rsid w:val="7C8232CF"/>
    <w:rsid w:val="7CCB6FCD"/>
    <w:rsid w:val="7D5C1627"/>
    <w:rsid w:val="7D85227D"/>
    <w:rsid w:val="7E635C01"/>
    <w:rsid w:val="7E662974"/>
    <w:rsid w:val="7EAF4003"/>
    <w:rsid w:val="7F9B2857"/>
    <w:rsid w:val="7FFD0F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footer"/>
    <w:basedOn w:val="1"/>
    <w:link w:val="29"/>
    <w:qFormat/>
    <w:uiPriority w:val="0"/>
    <w:pPr>
      <w:tabs>
        <w:tab w:val="center" w:pos="4153"/>
        <w:tab w:val="right" w:pos="8306"/>
      </w:tabs>
      <w:snapToGrid w:val="0"/>
      <w:jc w:val="left"/>
    </w:pPr>
    <w:rPr>
      <w:sz w:val="18"/>
      <w:szCs w:val="18"/>
    </w:rPr>
  </w:style>
  <w:style w:type="paragraph" w:styleId="4">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style>
  <w:style w:type="character" w:styleId="9">
    <w:name w:val="FollowedHyperlink"/>
    <w:basedOn w:val="7"/>
    <w:qFormat/>
    <w:uiPriority w:val="0"/>
    <w:rPr>
      <w:color w:val="000000"/>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Variable"/>
    <w:basedOn w:val="7"/>
    <w:qFormat/>
    <w:uiPriority w:val="0"/>
  </w:style>
  <w:style w:type="character" w:styleId="13">
    <w:name w:val="Hyperlink"/>
    <w:basedOn w:val="7"/>
    <w:qFormat/>
    <w:uiPriority w:val="0"/>
    <w:rPr>
      <w:color w:val="000000"/>
      <w:u w:val="none"/>
    </w:rPr>
  </w:style>
  <w:style w:type="character" w:styleId="14">
    <w:name w:val="HTML Code"/>
    <w:basedOn w:val="7"/>
    <w:qFormat/>
    <w:uiPriority w:val="0"/>
    <w:rPr>
      <w:rFonts w:ascii="Courier New" w:hAnsi="Courier New"/>
      <w:sz w:val="20"/>
    </w:rPr>
  </w:style>
  <w:style w:type="character" w:styleId="15">
    <w:name w:val="HTML Cite"/>
    <w:basedOn w:val="7"/>
    <w:qFormat/>
    <w:uiPriority w:val="0"/>
  </w:style>
  <w:style w:type="character" w:customStyle="1" w:styleId="16">
    <w:name w:val="first-child"/>
    <w:basedOn w:val="7"/>
    <w:qFormat/>
    <w:uiPriority w:val="0"/>
  </w:style>
  <w:style w:type="character" w:customStyle="1" w:styleId="17">
    <w:name w:val="layui-layer-tabnow"/>
    <w:basedOn w:val="7"/>
    <w:qFormat/>
    <w:uiPriority w:val="0"/>
    <w:rPr>
      <w:bdr w:val="single" w:color="CCCCCC" w:sz="6" w:space="0"/>
      <w:shd w:val="clear" w:color="auto" w:fill="FFFFFF"/>
    </w:rPr>
  </w:style>
  <w:style w:type="character" w:customStyle="1" w:styleId="18">
    <w:name w:val="x-tab-strip-text"/>
    <w:basedOn w:val="7"/>
    <w:qFormat/>
    <w:uiPriority w:val="0"/>
    <w:rPr>
      <w:color w:val="111111"/>
    </w:rPr>
  </w:style>
  <w:style w:type="character" w:customStyle="1" w:styleId="19">
    <w:name w:val="x-tab-strip-text1"/>
    <w:basedOn w:val="7"/>
    <w:qFormat/>
    <w:uiPriority w:val="0"/>
  </w:style>
  <w:style w:type="character" w:customStyle="1" w:styleId="20">
    <w:name w:val="x-tab-strip-text2"/>
    <w:basedOn w:val="7"/>
    <w:qFormat/>
    <w:uiPriority w:val="0"/>
    <w:rPr>
      <w:rFonts w:hint="eastAsia" w:ascii="宋体" w:hAnsi="宋体" w:eastAsia="宋体" w:cs="宋体"/>
      <w:color w:val="333333"/>
      <w:sz w:val="21"/>
      <w:szCs w:val="21"/>
    </w:rPr>
  </w:style>
  <w:style w:type="character" w:customStyle="1" w:styleId="21">
    <w:name w:val="x-tab-strip-text3"/>
    <w:basedOn w:val="7"/>
    <w:qFormat/>
    <w:uiPriority w:val="0"/>
  </w:style>
  <w:style w:type="character" w:customStyle="1" w:styleId="22">
    <w:name w:val="x-tab-strip-text4"/>
    <w:basedOn w:val="7"/>
    <w:qFormat/>
    <w:uiPriority w:val="0"/>
    <w:rPr>
      <w:b/>
      <w:color w:val="15428B"/>
    </w:rPr>
  </w:style>
  <w:style w:type="character" w:customStyle="1" w:styleId="23">
    <w:name w:val="x-tab-strip-text5"/>
    <w:basedOn w:val="7"/>
    <w:qFormat/>
    <w:uiPriority w:val="0"/>
  </w:style>
  <w:style w:type="character" w:customStyle="1" w:styleId="24">
    <w:name w:val="active1"/>
    <w:basedOn w:val="7"/>
    <w:qFormat/>
    <w:uiPriority w:val="0"/>
    <w:rPr>
      <w:color w:val="00FF00"/>
      <w:shd w:val="clear" w:color="auto" w:fill="000000"/>
    </w:rPr>
  </w:style>
  <w:style w:type="character" w:customStyle="1" w:styleId="25">
    <w:name w:val="hilite6"/>
    <w:basedOn w:val="7"/>
    <w:qFormat/>
    <w:uiPriority w:val="0"/>
    <w:rPr>
      <w:color w:val="FFFFFF"/>
      <w:shd w:val="clear" w:color="auto" w:fill="886666"/>
    </w:rPr>
  </w:style>
  <w:style w:type="character" w:customStyle="1" w:styleId="26">
    <w:name w:val="active7"/>
    <w:basedOn w:val="7"/>
    <w:qFormat/>
    <w:uiPriority w:val="0"/>
    <w:rPr>
      <w:color w:val="00FF00"/>
      <w:shd w:val="clear" w:color="auto" w:fill="000000"/>
    </w:rPr>
  </w:style>
  <w:style w:type="character" w:customStyle="1" w:styleId="27">
    <w:name w:val="hilite5"/>
    <w:basedOn w:val="7"/>
    <w:qFormat/>
    <w:uiPriority w:val="0"/>
    <w:rPr>
      <w:color w:val="FFFFFF"/>
      <w:shd w:val="clear" w:color="auto" w:fill="886666"/>
    </w:rPr>
  </w:style>
  <w:style w:type="character" w:customStyle="1" w:styleId="28">
    <w:name w:val="页眉 Char"/>
    <w:basedOn w:val="7"/>
    <w:link w:val="4"/>
    <w:qFormat/>
    <w:uiPriority w:val="0"/>
    <w:rPr>
      <w:rFonts w:asciiTheme="minorHAnsi" w:hAnsiTheme="minorHAnsi" w:eastAsiaTheme="minorEastAsia" w:cstheme="minorBidi"/>
      <w:kern w:val="2"/>
      <w:sz w:val="18"/>
      <w:szCs w:val="18"/>
    </w:rPr>
  </w:style>
  <w:style w:type="character" w:customStyle="1" w:styleId="2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1655</Words>
  <Characters>1753</Characters>
  <Lines>11</Lines>
  <Paragraphs>3</Paragraphs>
  <TotalTime>4</TotalTime>
  <ScaleCrop>false</ScaleCrop>
  <LinksUpToDate>false</LinksUpToDate>
  <CharactersWithSpaces>1805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2019-06-18T07:59:00Z</dcterms:created>
  <dc:creator>Judy~</dc:creator>
  <cp:lastModifiedBy>蕃蕃</cp:lastModifiedBy>
  <cp:lastPrinted>2025-12-23T08:06:00Z</cp:lastPrinted>
  <dcterms:modified xsi:type="dcterms:W3CDTF">2026-07-22T02:39:26Z</dcterms:modified>
  <dc:title>柳州市柳北区市场监督管理局</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ABA5863254B1402DA06351EBC2878FB3_13</vt:lpwstr>
  </property>
  <property fmtid="{D5CDD505-2E9C-101B-9397-08002B2CF9AE}" pid="4" name="KSOTemplateDocerSaveRecord">
    <vt:lpwstr>eyJoZGlkIjoiNjljYzBiNmJkNjNmYjA3MDkwNzQ4ZTM5NDc1MTY5NDgiLCJ1c2VySWQiOiI5MTQwNjk2NTMifQ==</vt:lpwstr>
  </property>
</Properties>
</file>