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DC335">
      <w:pPr>
        <w:keepLines w:val="0"/>
        <w:pageBreakBefore w:val="0"/>
        <w:kinsoku/>
        <w:wordWrap/>
        <w:overflowPunct/>
        <w:topLinePunct w:val="0"/>
        <w:bidi w:val="0"/>
        <w:spacing w:line="52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柳州市柳北区市场监督管理局</w:t>
      </w:r>
    </w:p>
    <w:p w14:paraId="71841D34">
      <w:pPr>
        <w:keepLines w:val="0"/>
        <w:pageBreakBefore w:val="0"/>
        <w:kinsoku/>
        <w:wordWrap/>
        <w:overflowPunct/>
        <w:topLinePunct w:val="0"/>
        <w:bidi w:val="0"/>
        <w:spacing w:afterLines="50" w:line="52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行政处罚决定书</w:t>
      </w:r>
    </w:p>
    <w:p w14:paraId="590629DC">
      <w:pPr>
        <w:keepLines w:val="0"/>
        <w:pageBreakBefore w:val="0"/>
        <w:widowControl/>
        <w:kinsoku/>
        <w:wordWrap/>
        <w:overflowPunct/>
        <w:topLinePunct w:val="0"/>
        <w:bidi w:val="0"/>
        <w:snapToGrid w:val="0"/>
        <w:spacing w:line="520" w:lineRule="exact"/>
        <w:ind w:right="55"/>
        <w:jc w:val="center"/>
        <w:textAlignment w:val="auto"/>
        <w:outlineLvl w:val="1"/>
        <w:rPr>
          <w:rFonts w:hint="eastAsia" w:ascii="Times New Roman" w:hAnsi="Times New Roman" w:eastAsia="仿宋_GB2312" w:cs="Mongolian Baiti"/>
          <w:color w:val="auto"/>
          <w:sz w:val="32"/>
        </w:rPr>
      </w:pPr>
      <w:bookmarkStart w:id="0" w:name="tAj_wh"/>
      <w:r>
        <w:rPr>
          <w:rFonts w:hint="eastAsia" w:ascii="Times New Roman" w:hAnsi="Times New Roman" w:eastAsia="仿宋_GB2312" w:cs="Mongolian Baiti"/>
          <w:color w:val="auto"/>
          <w:sz w:val="32"/>
        </w:rPr>
        <w:t>柳北市监</w:t>
      </w:r>
      <w:r>
        <w:rPr>
          <w:rFonts w:hint="eastAsia" w:ascii="Times New Roman" w:hAnsi="Times New Roman" w:eastAsia="仿宋_GB2312" w:cs="Mongolian Baiti"/>
          <w:color w:val="auto"/>
          <w:sz w:val="32"/>
          <w:lang w:eastAsia="zh-CN"/>
        </w:rPr>
        <w:t>处</w:t>
      </w:r>
      <w:r>
        <w:rPr>
          <w:rFonts w:hint="eastAsia" w:ascii="Times New Roman" w:hAnsi="Times New Roman" w:eastAsia="仿宋_GB2312" w:cs="Mongolian Baiti"/>
          <w:color w:val="auto"/>
          <w:sz w:val="32"/>
        </w:rPr>
        <w:t>罚〔202</w:t>
      </w:r>
      <w:r>
        <w:rPr>
          <w:rFonts w:hint="eastAsia" w:ascii="Times New Roman" w:hAnsi="Times New Roman" w:eastAsia="仿宋_GB2312" w:cs="Mongolian Baiti"/>
          <w:color w:val="auto"/>
          <w:sz w:val="32"/>
          <w:lang w:val="en-US" w:eastAsia="zh-CN"/>
        </w:rPr>
        <w:t>6</w:t>
      </w:r>
      <w:r>
        <w:rPr>
          <w:rFonts w:hint="eastAsia" w:ascii="Times New Roman" w:hAnsi="Times New Roman" w:eastAsia="仿宋_GB2312" w:cs="Mongolian Baiti"/>
          <w:color w:val="auto"/>
          <w:sz w:val="32"/>
        </w:rPr>
        <w:t>〕</w:t>
      </w:r>
      <w:r>
        <w:rPr>
          <w:rFonts w:hint="eastAsia" w:ascii="Times New Roman" w:hAnsi="Times New Roman" w:eastAsia="仿宋_GB2312" w:cs="Mongolian Baiti"/>
          <w:color w:val="auto"/>
          <w:sz w:val="32"/>
          <w:lang w:val="en-US" w:eastAsia="zh-CN"/>
        </w:rPr>
        <w:t>64</w:t>
      </w:r>
      <w:r>
        <w:rPr>
          <w:rFonts w:hint="eastAsia" w:ascii="Times New Roman" w:hAnsi="Times New Roman" w:eastAsia="仿宋_GB2312" w:cs="Mongolian Baiti"/>
          <w:color w:val="auto"/>
          <w:sz w:val="32"/>
        </w:rPr>
        <w:t>号</w:t>
      </w:r>
      <w:bookmarkEnd w:id="0"/>
    </w:p>
    <w:p w14:paraId="11581B8F">
      <w:pPr>
        <w:pStyle w:val="2"/>
        <w:rPr>
          <w:rFonts w:hint="eastAsia"/>
          <w:color w:val="auto"/>
          <w:lang w:val="en-US" w:eastAsia="zh-CN"/>
        </w:rPr>
      </w:pPr>
    </w:p>
    <w:p w14:paraId="5B594D78">
      <w:pPr>
        <w:keepNext w:val="0"/>
        <w:keepLines w:val="0"/>
        <w:pageBreakBefore w:val="0"/>
        <w:widowControl w:val="0"/>
        <w:kinsoku/>
        <w:wordWrap/>
        <w:overflowPunct/>
        <w:topLinePunct w:val="0"/>
        <w:autoSpaceDE/>
        <w:autoSpaceDN/>
        <w:bidi w:val="0"/>
        <w:snapToGrid/>
        <w:spacing w:line="520" w:lineRule="exact"/>
        <w:ind w:left="0" w:leftChars="0" w:firstLine="0" w:firstLineChars="0"/>
        <w:textAlignment w:val="auto"/>
        <w:rPr>
          <w:rFonts w:hint="eastAsia" w:ascii="仿宋_GB2312" w:hAnsi="仿宋_GB2312" w:eastAsia="仿宋_GB2312" w:cs="仿宋_GB2312"/>
          <w:color w:val="auto"/>
          <w:sz w:val="32"/>
          <w:szCs w:val="32"/>
          <w:u w:val="none"/>
          <w:lang w:val="en-US" w:eastAsia="zh-CN"/>
        </w:rPr>
      </w:pPr>
      <w:bookmarkStart w:id="1" w:name="OLE_LINK8"/>
      <w:bookmarkStart w:id="2" w:name="OLE_LINK4"/>
      <w:r>
        <w:rPr>
          <w:rFonts w:hint="eastAsia" w:ascii="仿宋_GB2312" w:hAnsi="仿宋_GB2312" w:eastAsia="仿宋_GB2312" w:cs="仿宋_GB2312"/>
          <w:color w:val="auto"/>
          <w:sz w:val="32"/>
          <w:szCs w:val="32"/>
          <w:u w:val="none"/>
          <w:lang w:val="en-US" w:eastAsia="zh-CN"/>
        </w:rPr>
        <w:t>当事人：</w:t>
      </w:r>
      <w:r>
        <w:rPr>
          <w:rFonts w:hint="eastAsia" w:ascii="仿宋_GB2312" w:hAnsi="仿宋_GB2312" w:eastAsia="仿宋_GB2312" w:cs="仿宋_GB2312"/>
          <w:color w:val="auto"/>
          <w:sz w:val="32"/>
          <w:szCs w:val="32"/>
          <w:u w:val="none" w:color="auto"/>
          <w:lang w:eastAsia="zh-CN"/>
        </w:rPr>
        <w:t>柳州市柳北区小钟哥餐饮店</w:t>
      </w:r>
      <w:r>
        <w:rPr>
          <w:rFonts w:hint="default"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 xml:space="preserve">       </w:t>
      </w:r>
    </w:p>
    <w:p w14:paraId="5D65790F">
      <w:pPr>
        <w:keepNext w:val="0"/>
        <w:keepLines w:val="0"/>
        <w:pageBreakBefore w:val="0"/>
        <w:widowControl w:val="0"/>
        <w:kinsoku/>
        <w:wordWrap/>
        <w:overflowPunct/>
        <w:topLinePunct w:val="0"/>
        <w:autoSpaceDE/>
        <w:autoSpaceDN/>
        <w:bidi w:val="0"/>
        <w:snapToGrid/>
        <w:spacing w:line="520" w:lineRule="exact"/>
        <w:ind w:left="0" w:leftChars="0" w:firstLine="0" w:firstLineChars="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主体资格证照名称：</w:t>
      </w:r>
      <w:bookmarkStart w:id="3" w:name="CALCULATE—DSR—tAjDsrs_cZtzgzzmc"/>
      <w:r>
        <w:rPr>
          <w:rFonts w:hint="eastAsia" w:ascii="仿宋_GB2312" w:hAnsi="仿宋_GB2312" w:eastAsia="仿宋_GB2312" w:cs="仿宋_GB2312"/>
          <w:color w:val="auto"/>
          <w:sz w:val="32"/>
          <w:szCs w:val="32"/>
          <w:u w:val="none"/>
          <w:lang w:val="en-US" w:eastAsia="zh-CN"/>
        </w:rPr>
        <w:t>营业执照</w:t>
      </w:r>
      <w:bookmarkEnd w:id="3"/>
      <w:r>
        <w:rPr>
          <w:rFonts w:hint="eastAsia" w:ascii="仿宋_GB2312" w:hAnsi="仿宋_GB2312" w:eastAsia="仿宋_GB2312" w:cs="仿宋_GB2312"/>
          <w:color w:val="auto"/>
          <w:sz w:val="32"/>
          <w:szCs w:val="32"/>
          <w:u w:val="none"/>
          <w:lang w:val="en-US" w:eastAsia="zh-CN"/>
        </w:rPr>
        <w:t xml:space="preserve">                                  </w:t>
      </w:r>
    </w:p>
    <w:p w14:paraId="36AC2256">
      <w:pPr>
        <w:keepNext w:val="0"/>
        <w:keepLines w:val="0"/>
        <w:pageBreakBefore w:val="0"/>
        <w:widowControl w:val="0"/>
        <w:kinsoku/>
        <w:wordWrap/>
        <w:overflowPunct/>
        <w:topLinePunct w:val="0"/>
        <w:autoSpaceDE/>
        <w:autoSpaceDN/>
        <w:bidi w:val="0"/>
        <w:snapToGrid/>
        <w:spacing w:line="520" w:lineRule="exact"/>
        <w:ind w:left="0" w:leftChars="0" w:firstLine="0" w:firstLineChars="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统一社会信用代码：</w:t>
      </w:r>
      <w:r>
        <w:rPr>
          <w:rFonts w:hint="eastAsia" w:ascii="仿宋_GB2312" w:hAnsi="仿宋_GB2312" w:eastAsia="仿宋_GB2312" w:cs="仿宋_GB2312"/>
          <w:color w:val="auto"/>
          <w:sz w:val="32"/>
          <w:szCs w:val="32"/>
          <w:u w:val="none" w:color="auto"/>
          <w:lang w:eastAsia="zh-CN"/>
        </w:rPr>
        <w:t>92450205MABXKWYP4</w:t>
      </w:r>
      <w:r>
        <w:rPr>
          <w:rFonts w:hint="eastAsia" w:ascii="仿宋_GB2312" w:hAnsi="仿宋_GB2312" w:eastAsia="仿宋_GB2312" w:cs="仿宋_GB2312"/>
          <w:color w:val="auto"/>
          <w:sz w:val="32"/>
          <w:szCs w:val="32"/>
          <w:u w:val="none" w:color="auto"/>
          <w:lang w:val="en-US" w:eastAsia="zh-CN"/>
        </w:rPr>
        <w:t>G</w:t>
      </w:r>
      <w:r>
        <w:rPr>
          <w:rFonts w:hint="eastAsia" w:ascii="仿宋_GB2312" w:hAnsi="仿宋_GB2312" w:eastAsia="仿宋_GB2312" w:cs="仿宋_GB2312"/>
          <w:color w:val="auto"/>
          <w:sz w:val="32"/>
          <w:szCs w:val="32"/>
          <w:u w:val="none"/>
          <w:lang w:val="en-US" w:eastAsia="zh-CN"/>
        </w:rPr>
        <w:t xml:space="preserve">                                </w:t>
      </w:r>
    </w:p>
    <w:p w14:paraId="7CB4F177">
      <w:pPr>
        <w:keepNext w:val="0"/>
        <w:keepLines w:val="0"/>
        <w:pageBreakBefore w:val="0"/>
        <w:widowControl w:val="0"/>
        <w:kinsoku/>
        <w:wordWrap/>
        <w:overflowPunct/>
        <w:topLinePunct w:val="0"/>
        <w:autoSpaceDE/>
        <w:autoSpaceDN/>
        <w:bidi w:val="0"/>
        <w:snapToGrid/>
        <w:spacing w:line="520" w:lineRule="exact"/>
        <w:ind w:left="0" w:leftChars="0" w:firstLine="0" w:firstLineChars="0"/>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color w:val="auto"/>
          <w:sz w:val="32"/>
          <w:szCs w:val="32"/>
          <w:u w:val="none"/>
          <w:lang w:val="en-US" w:eastAsia="zh-CN"/>
        </w:rPr>
        <w:t>经营场所：</w:t>
      </w:r>
      <w:r>
        <w:rPr>
          <w:rFonts w:hint="eastAsia" w:ascii="仿宋_GB2312" w:hAnsi="仿宋_GB2312" w:eastAsia="仿宋_GB2312" w:cs="仿宋_GB2312"/>
          <w:color w:val="auto"/>
          <w:sz w:val="32"/>
          <w:szCs w:val="32"/>
          <w:u w:val="none" w:color="auto"/>
          <w:lang w:eastAsia="zh-CN"/>
        </w:rPr>
        <w:t>柳州市柳北区鹧鸪江路7号2栋2号</w:t>
      </w:r>
    </w:p>
    <w:p w14:paraId="4FB3880C">
      <w:pPr>
        <w:keepNext w:val="0"/>
        <w:keepLines w:val="0"/>
        <w:pageBreakBefore w:val="0"/>
        <w:kinsoku/>
        <w:wordWrap/>
        <w:overflowPunct/>
        <w:topLinePunct w:val="0"/>
        <w:autoSpaceDE/>
        <w:autoSpaceDN/>
        <w:bidi w:val="0"/>
        <w:snapToGrid/>
        <w:spacing w:line="460" w:lineRule="exact"/>
        <w:ind w:left="0" w:leftChars="0" w:firstLine="0" w:firstLineChars="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经营者：</w:t>
      </w:r>
      <w:r>
        <w:rPr>
          <w:rFonts w:hint="eastAsia" w:ascii="仿宋_GB2312" w:hAnsi="仿宋_GB2312" w:eastAsia="仿宋_GB2312" w:cs="仿宋_GB2312"/>
          <w:color w:val="auto"/>
          <w:sz w:val="32"/>
          <w:szCs w:val="32"/>
          <w:u w:val="none" w:color="auto"/>
          <w:lang w:val="en-US" w:eastAsia="zh-CN"/>
        </w:rPr>
        <w:t>钟旭尧</w:t>
      </w:r>
      <w:r>
        <w:rPr>
          <w:rFonts w:hint="eastAsia" w:ascii="仿宋_GB2312" w:hAnsi="仿宋_GB2312" w:eastAsia="仿宋_GB2312" w:cs="仿宋_GB2312"/>
          <w:color w:val="auto"/>
          <w:sz w:val="32"/>
          <w:szCs w:val="32"/>
          <w:u w:val="none"/>
          <w:lang w:val="en-US" w:eastAsia="zh-CN"/>
        </w:rPr>
        <w:t xml:space="preserve">                       </w:t>
      </w:r>
    </w:p>
    <w:p w14:paraId="55C9FFA1">
      <w:pPr>
        <w:keepNext w:val="0"/>
        <w:keepLines w:val="0"/>
        <w:pageBreakBefore w:val="0"/>
        <w:kinsoku/>
        <w:wordWrap/>
        <w:overflowPunct/>
        <w:topLinePunct w:val="0"/>
        <w:autoSpaceDE/>
        <w:autoSpaceDN/>
        <w:bidi w:val="0"/>
        <w:snapToGrid/>
        <w:spacing w:line="460" w:lineRule="exact"/>
        <w:ind w:left="0" w:leftChars="0" w:firstLine="0" w:firstLineChars="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身份证件号码：</w:t>
      </w:r>
      <w:r>
        <w:rPr>
          <w:rFonts w:hint="eastAsia" w:ascii="仿宋_GB2312" w:hAnsi="仿宋_GB2312" w:eastAsia="仿宋_GB2312" w:cs="仿宋_GB2312"/>
          <w:color w:val="auto"/>
          <w:sz w:val="32"/>
          <w:szCs w:val="32"/>
          <w:u w:val="none" w:color="auto"/>
          <w:lang w:val="en-US" w:eastAsia="zh-CN"/>
        </w:rPr>
        <w:t>*</w:t>
      </w:r>
    </w:p>
    <w:p w14:paraId="5001345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2026年4月8日，执法</w:t>
      </w:r>
      <w:r>
        <w:rPr>
          <w:rFonts w:hint="eastAsia" w:ascii="仿宋_GB2312" w:hAnsi="仿宋_GB2312" w:eastAsia="仿宋_GB2312" w:cs="仿宋_GB2312"/>
          <w:bCs/>
          <w:color w:val="auto"/>
          <w:sz w:val="32"/>
          <w:szCs w:val="32"/>
          <w:lang w:eastAsia="zh-CN"/>
        </w:rPr>
        <w:t>人员</w:t>
      </w:r>
      <w:r>
        <w:rPr>
          <w:rFonts w:hint="default" w:ascii="仿宋_GB2312" w:hAnsi="仿宋_GB2312" w:eastAsia="仿宋_GB2312" w:cs="仿宋_GB2312"/>
          <w:bCs/>
          <w:color w:val="auto"/>
          <w:sz w:val="32"/>
          <w:szCs w:val="32"/>
        </w:rPr>
        <w:t>通过线上美团APP发现网店“大鸿途烧卤快餐</w:t>
      </w:r>
      <w:r>
        <w:rPr>
          <w:rFonts w:hint="eastAsia" w:ascii="仿宋_GB2312" w:hAnsi="Mongolian Baiti" w:eastAsia="仿宋_GB2312" w:cs="Mongolian Baiti"/>
          <w:color w:val="auto"/>
          <w:sz w:val="32"/>
          <w:szCs w:val="32"/>
          <w:lang w:val="en-US" w:eastAsia="zh-CN"/>
        </w:rPr>
        <w:t>（新红卫23店）</w:t>
      </w:r>
      <w:r>
        <w:rPr>
          <w:rFonts w:hint="default" w:ascii="仿宋_GB2312" w:hAnsi="仿宋_GB2312" w:eastAsia="仿宋_GB2312" w:cs="仿宋_GB2312"/>
          <w:bCs/>
          <w:color w:val="auto"/>
          <w:sz w:val="32"/>
          <w:szCs w:val="32"/>
        </w:rPr>
        <w:t>”正在从事网络餐饮服务，该网店公示有柳州市柳北区小钟哥餐饮店的《营业执照》、《小餐饮登记证》，经营地址为柳州市柳北区鹧鸪江路7号2栋2号，执法人员到达该地址，发现门面关门，已无经营痕迹。当事人上述行为涉嫌违反《网络餐饮服务食品安全监督管理办法》第四条的规定，</w:t>
      </w:r>
      <w:r>
        <w:rPr>
          <w:rFonts w:hint="eastAsia" w:ascii="仿宋_GB2312" w:hAnsi="仿宋_GB2312" w:eastAsia="仿宋_GB2312" w:cs="仿宋_GB2312"/>
          <w:bCs/>
          <w:color w:val="auto"/>
          <w:sz w:val="32"/>
          <w:szCs w:val="32"/>
          <w:lang w:val="en-US" w:eastAsia="zh-CN"/>
        </w:rPr>
        <w:t>为进一步查明事实，我局于2026年4月15日对当事人进行立案调查</w:t>
      </w:r>
      <w:r>
        <w:rPr>
          <w:rFonts w:hint="eastAsia" w:ascii="仿宋_GB2312" w:hAnsi="仿宋_GB2312" w:eastAsia="仿宋_GB2312" w:cs="仿宋_GB2312"/>
          <w:bCs/>
          <w:color w:val="auto"/>
          <w:sz w:val="32"/>
          <w:szCs w:val="32"/>
        </w:rPr>
        <w:t>。</w:t>
      </w:r>
    </w:p>
    <w:p w14:paraId="7BAD541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 w:eastAsia="仿宋_GB2312" w:cs="仿宋"/>
          <w:color w:val="auto"/>
          <w:sz w:val="32"/>
          <w:szCs w:val="32"/>
          <w:lang w:val="en-US" w:eastAsia="zh-CN"/>
        </w:rPr>
      </w:pPr>
      <w:r>
        <w:rPr>
          <w:rFonts w:hint="eastAsia" w:ascii="仿宋_GB2312" w:hAnsi="仿宋_GB2312" w:eastAsia="仿宋_GB2312" w:cs="仿宋_GB2312"/>
          <w:bCs/>
          <w:color w:val="auto"/>
          <w:sz w:val="32"/>
          <w:szCs w:val="32"/>
        </w:rPr>
        <w:t>经查实，</w:t>
      </w:r>
      <w:r>
        <w:rPr>
          <w:rFonts w:hint="eastAsia" w:ascii="仿宋_GB2312" w:hAnsi="仿宋_GB2312" w:eastAsia="仿宋_GB2312" w:cs="仿宋_GB2312"/>
          <w:bCs/>
          <w:color w:val="auto"/>
          <w:sz w:val="32"/>
          <w:szCs w:val="32"/>
          <w:lang w:eastAsia="zh-CN"/>
        </w:rPr>
        <w:t>当事人在美团平台上开设有名称为</w:t>
      </w:r>
      <w:r>
        <w:rPr>
          <w:rFonts w:hint="eastAsia" w:ascii="仿宋_GB2312" w:hAnsi="仿宋_GB2312" w:eastAsia="仿宋_GB2312" w:cs="仿宋_GB2312"/>
          <w:color w:val="auto"/>
          <w:sz w:val="32"/>
          <w:szCs w:val="32"/>
          <w:u w:val="none" w:color="auto"/>
          <w:lang w:eastAsia="zh-CN"/>
        </w:rPr>
        <w:t>“</w:t>
      </w:r>
      <w:r>
        <w:rPr>
          <w:rFonts w:hint="eastAsia" w:ascii="仿宋_GB2312" w:hAnsi="Mongolian Baiti" w:eastAsia="仿宋_GB2312" w:cs="Mongolian Baiti"/>
          <w:color w:val="auto"/>
          <w:sz w:val="32"/>
          <w:szCs w:val="32"/>
          <w:lang w:val="en-US" w:eastAsia="zh-CN"/>
        </w:rPr>
        <w:t>大鸿途烧卤快餐（新红卫23店）</w:t>
      </w:r>
      <w:r>
        <w:rPr>
          <w:rFonts w:hint="eastAsia" w:ascii="仿宋_GB2312" w:hAnsi="仿宋_GB2312" w:eastAsia="仿宋_GB2312" w:cs="仿宋_GB2312"/>
          <w:color w:val="auto"/>
          <w:sz w:val="32"/>
          <w:szCs w:val="32"/>
          <w:u w:val="none" w:color="auto"/>
          <w:lang w:eastAsia="zh-CN"/>
        </w:rPr>
        <w:t>”的网络餐饮店，自</w:t>
      </w:r>
      <w:r>
        <w:rPr>
          <w:rFonts w:hint="eastAsia" w:ascii="仿宋_GB2312" w:hAnsi="仿宋_GB2312" w:eastAsia="仿宋_GB2312" w:cs="仿宋_GB2312"/>
          <w:bCs/>
          <w:color w:val="auto"/>
          <w:sz w:val="32"/>
          <w:szCs w:val="32"/>
          <w:highlight w:val="none"/>
          <w:lang w:val="en-US" w:eastAsia="zh-CN"/>
        </w:rPr>
        <w:t>2025年9月</w:t>
      </w:r>
      <w:r>
        <w:rPr>
          <w:rFonts w:hint="eastAsia" w:ascii="仿宋_GB2312" w:hAnsi="仿宋_GB2312" w:eastAsia="仿宋_GB2312" w:cs="仿宋_GB2312"/>
          <w:bCs/>
          <w:color w:val="auto"/>
          <w:sz w:val="32"/>
          <w:szCs w:val="32"/>
          <w:lang w:val="en-US" w:eastAsia="zh-CN"/>
        </w:rPr>
        <w:t>始至2026年4月12日被我局依法查获期间，当事人位于</w:t>
      </w:r>
      <w:r>
        <w:rPr>
          <w:rFonts w:hint="eastAsia" w:ascii="仿宋_GB2312" w:hAnsi="仿宋_GB2312" w:eastAsia="仿宋_GB2312" w:cs="仿宋_GB2312"/>
          <w:color w:val="auto"/>
          <w:sz w:val="32"/>
          <w:szCs w:val="32"/>
          <w:u w:val="none" w:color="auto"/>
          <w:lang w:eastAsia="zh-CN"/>
        </w:rPr>
        <w:t>柳州市柳北区鹧鸪江路7号2栋2号的</w:t>
      </w:r>
      <w:r>
        <w:rPr>
          <w:rFonts w:hint="eastAsia" w:ascii="仿宋_GB2312" w:hAnsi="仿宋_GB2312" w:eastAsia="仿宋_GB2312" w:cs="仿宋_GB2312"/>
          <w:bCs/>
          <w:color w:val="auto"/>
          <w:sz w:val="32"/>
          <w:szCs w:val="32"/>
          <w:lang w:val="en-US" w:eastAsia="zh-CN"/>
        </w:rPr>
        <w:t>经营场所</w:t>
      </w:r>
      <w:r>
        <w:rPr>
          <w:rFonts w:hint="eastAsia" w:ascii="仿宋_GB2312" w:hAnsi="仿宋_GB2312" w:eastAsia="仿宋_GB2312" w:cs="仿宋_GB2312"/>
          <w:color w:val="auto"/>
          <w:sz w:val="32"/>
          <w:szCs w:val="32"/>
          <w:u w:val="none" w:color="auto"/>
          <w:lang w:eastAsia="zh-CN"/>
        </w:rPr>
        <w:t>已停止经营，且当事人的《小餐饮登记证》已于</w:t>
      </w:r>
      <w:r>
        <w:rPr>
          <w:rFonts w:hint="eastAsia" w:ascii="仿宋_GB2312" w:hAnsi="仿宋_GB2312" w:eastAsia="仿宋_GB2312" w:cs="仿宋_GB2312"/>
          <w:color w:val="auto"/>
          <w:sz w:val="32"/>
          <w:szCs w:val="32"/>
          <w:u w:val="none" w:color="auto"/>
          <w:lang w:val="en-US" w:eastAsia="zh-CN"/>
        </w:rPr>
        <w:t>2025年9月28日有效期届满，</w:t>
      </w:r>
      <w:r>
        <w:rPr>
          <w:rFonts w:hint="eastAsia" w:ascii="仿宋_GB2312" w:hAnsi="仿宋_GB2312" w:eastAsia="仿宋_GB2312" w:cs="仿宋_GB2312"/>
          <w:color w:val="auto"/>
          <w:sz w:val="32"/>
          <w:szCs w:val="32"/>
          <w:u w:val="none" w:color="auto"/>
          <w:lang w:eastAsia="zh-CN"/>
        </w:rPr>
        <w:t>但该网络餐饮店继续营业，</w:t>
      </w:r>
      <w:r>
        <w:rPr>
          <w:rFonts w:hint="eastAsia" w:ascii="仿宋_GB2312" w:hAnsi="仿宋_GB2312" w:eastAsia="仿宋_GB2312" w:cs="仿宋_GB2312"/>
          <w:color w:val="auto"/>
          <w:sz w:val="32"/>
          <w:szCs w:val="32"/>
          <w:u w:val="none" w:color="auto"/>
          <w:lang w:val="en-US" w:eastAsia="zh-CN"/>
        </w:rPr>
        <w:t>外卖食品在经营者钟旭尧正常营业的位于柳州市柳北区柳长路12号之二A地块A2#楼1-9号商铺的“</w:t>
      </w:r>
      <w:r>
        <w:rPr>
          <w:rFonts w:hint="eastAsia" w:ascii="仿宋_GB2312" w:hAnsi="仿宋" w:eastAsia="仿宋_GB2312" w:cs="仿宋"/>
          <w:color w:val="auto"/>
          <w:sz w:val="32"/>
          <w:szCs w:val="32"/>
          <w:lang w:val="en-US" w:eastAsia="zh-CN"/>
        </w:rPr>
        <w:t>柳州市柳北区恒香源快餐店</w:t>
      </w:r>
      <w:r>
        <w:rPr>
          <w:rFonts w:hint="eastAsia" w:ascii="仿宋_GB2312" w:hAnsi="仿宋_GB2312" w:eastAsia="仿宋_GB2312" w:cs="仿宋_GB2312"/>
          <w:color w:val="auto"/>
          <w:sz w:val="32"/>
          <w:szCs w:val="32"/>
          <w:u w:val="none" w:color="auto"/>
          <w:lang w:val="en-US" w:eastAsia="zh-CN"/>
        </w:rPr>
        <w:t>”制作并</w:t>
      </w:r>
      <w:r>
        <w:rPr>
          <w:rFonts w:hint="eastAsia" w:ascii="仿宋_GB2312" w:hAnsi="仿宋" w:eastAsia="仿宋_GB2312" w:cs="仿宋"/>
          <w:color w:val="auto"/>
          <w:sz w:val="32"/>
          <w:szCs w:val="32"/>
          <w:lang w:val="en-US" w:eastAsia="zh-CN"/>
        </w:rPr>
        <w:t>提供，两店资源共享。</w:t>
      </w:r>
    </w:p>
    <w:p w14:paraId="7BE9CEA6">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Cs/>
          <w:color w:val="auto"/>
          <w:sz w:val="32"/>
          <w:szCs w:val="32"/>
          <w:lang w:val="en-US" w:eastAsia="zh-CN"/>
        </w:rPr>
        <w:t>由于当事人只能提供</w:t>
      </w:r>
      <w:r>
        <w:rPr>
          <w:rFonts w:hint="eastAsia" w:ascii="仿宋_GB2312" w:hAnsi="仿宋" w:eastAsia="仿宋_GB2312" w:cs="仿宋"/>
          <w:color w:val="auto"/>
          <w:sz w:val="32"/>
          <w:szCs w:val="32"/>
          <w:lang w:val="en-US" w:eastAsia="zh-CN"/>
        </w:rPr>
        <w:t>2025年11月1日至2026年4月12日的外卖交易记录</w:t>
      </w:r>
      <w:r>
        <w:rPr>
          <w:rFonts w:hint="eastAsia" w:ascii="仿宋_GB2312" w:hAnsi="仿宋_GB2312" w:eastAsia="仿宋_GB2312" w:cs="仿宋_GB2312"/>
          <w:bCs/>
          <w:color w:val="auto"/>
          <w:sz w:val="32"/>
          <w:szCs w:val="32"/>
          <w:u w:val="none"/>
          <w:lang w:val="en-US" w:eastAsia="zh-CN"/>
        </w:rPr>
        <w:t>，故</w:t>
      </w:r>
      <w:r>
        <w:rPr>
          <w:rFonts w:hint="eastAsia" w:ascii="仿宋_GB2312" w:hAnsi="仿宋" w:eastAsia="仿宋_GB2312" w:cs="仿宋"/>
          <w:color w:val="auto"/>
          <w:sz w:val="32"/>
          <w:szCs w:val="32"/>
          <w:lang w:val="en-US" w:eastAsia="zh-CN"/>
        </w:rPr>
        <w:t>2025年9月至2025年10月31日期间的</w:t>
      </w:r>
      <w:r>
        <w:rPr>
          <w:rFonts w:hint="eastAsia" w:ascii="仿宋_GB2312" w:hAnsi="仿宋_GB2312" w:eastAsia="仿宋_GB2312" w:cs="仿宋_GB2312"/>
          <w:bCs/>
          <w:color w:val="auto"/>
          <w:sz w:val="32"/>
          <w:szCs w:val="32"/>
          <w:lang w:val="en-US" w:eastAsia="zh-CN"/>
        </w:rPr>
        <w:t>经营性收入无法计算。</w:t>
      </w:r>
      <w:r>
        <w:rPr>
          <w:rFonts w:hint="eastAsia" w:ascii="仿宋_GB2312" w:hAnsi="仿宋" w:eastAsia="仿宋_GB2312" w:cs="仿宋"/>
          <w:color w:val="auto"/>
          <w:sz w:val="32"/>
          <w:szCs w:val="32"/>
          <w:lang w:val="en-US" w:eastAsia="zh-CN"/>
        </w:rPr>
        <w:t>2025年11月1日至2026年4月12日期间，当事人的营业性收入共计</w:t>
      </w:r>
      <w:r>
        <w:rPr>
          <w:rFonts w:hint="eastAsia" w:ascii="仿宋_GB2312" w:hAnsi="仿宋" w:eastAsia="仿宋_GB2312" w:cs="仿宋"/>
          <w:color w:val="auto"/>
          <w:sz w:val="32"/>
          <w:szCs w:val="32"/>
          <w:highlight w:val="none"/>
          <w:lang w:val="en-US" w:eastAsia="zh-CN"/>
        </w:rPr>
        <w:t>10490.88</w:t>
      </w:r>
      <w:r>
        <w:rPr>
          <w:rFonts w:hint="eastAsia" w:ascii="仿宋_GB2312" w:hAnsi="仿宋" w:eastAsia="仿宋_GB2312" w:cs="仿宋"/>
          <w:color w:val="auto"/>
          <w:sz w:val="32"/>
          <w:szCs w:val="32"/>
          <w:lang w:val="en-US" w:eastAsia="zh-CN"/>
        </w:rPr>
        <w:t>元，柳州市柳北区恒香源快餐店的营业性收入共计561142.97元，当事人的营业性收入占两店总营业性收入1.83%；期间，两店</w:t>
      </w:r>
      <w:r>
        <w:rPr>
          <w:rFonts w:hint="eastAsia" w:ascii="仿宋_GB2312" w:hAnsi="仿宋" w:eastAsia="仿宋_GB2312" w:cs="仿宋"/>
          <w:color w:val="auto"/>
          <w:sz w:val="32"/>
          <w:szCs w:val="32"/>
          <w:highlight w:val="none"/>
          <w:lang w:val="en-US" w:eastAsia="zh-CN"/>
        </w:rPr>
        <w:t>支出共计536012元，其中</w:t>
      </w:r>
      <w:r>
        <w:rPr>
          <w:rFonts w:hint="eastAsia" w:ascii="仿宋_GB2312" w:hAnsi="仿宋" w:eastAsia="仿宋_GB2312" w:cs="仿宋"/>
          <w:color w:val="auto"/>
          <w:sz w:val="32"/>
          <w:szCs w:val="32"/>
          <w:lang w:val="en-US" w:eastAsia="zh-CN"/>
        </w:rPr>
        <w:t>支出大鸿途厨房食材原</w:t>
      </w:r>
      <w:r>
        <w:rPr>
          <w:rFonts w:hint="eastAsia" w:ascii="仿宋_GB2312" w:hAnsi="仿宋" w:eastAsia="仿宋_GB2312" w:cs="仿宋"/>
          <w:color w:val="auto"/>
          <w:sz w:val="32"/>
          <w:szCs w:val="32"/>
          <w:highlight w:val="none"/>
          <w:lang w:val="en-US" w:eastAsia="zh-CN"/>
        </w:rPr>
        <w:t>料208805</w:t>
      </w:r>
      <w:r>
        <w:rPr>
          <w:rFonts w:hint="eastAsia" w:ascii="仿宋_GB2312" w:hAnsi="仿宋" w:eastAsia="仿宋_GB2312" w:cs="仿宋"/>
          <w:color w:val="auto"/>
          <w:sz w:val="32"/>
          <w:szCs w:val="32"/>
          <w:lang w:val="en-US" w:eastAsia="zh-CN"/>
        </w:rPr>
        <w:t>元，食材运费5500元，蔬菜和鱼其他肉菜53919元，饮料+水类12745元，燃气费18488元，门面租金及物业管理费33581元，电费18000元，打包用具17172元，</w:t>
      </w:r>
      <w:bookmarkStart w:id="8" w:name="_GoBack"/>
      <w:bookmarkEnd w:id="8"/>
      <w:r>
        <w:rPr>
          <w:rFonts w:hint="eastAsia" w:ascii="仿宋_GB2312" w:hAnsi="仿宋" w:eastAsia="仿宋_GB2312" w:cs="仿宋"/>
          <w:color w:val="auto"/>
          <w:sz w:val="32"/>
          <w:szCs w:val="32"/>
          <w:lang w:val="en-US" w:eastAsia="zh-CN"/>
        </w:rPr>
        <w:t>大米32670元，工资支出135132元。根据当事人营业性收入与两店营业性收入的占比计算当事人上述期间的支出，当事人上述期间支出为</w:t>
      </w:r>
      <w:r>
        <w:rPr>
          <w:rFonts w:hint="eastAsia" w:ascii="仿宋_GB2312" w:hAnsi="仿宋" w:eastAsia="仿宋_GB2312" w:cs="仿宋"/>
          <w:color w:val="auto"/>
          <w:sz w:val="32"/>
          <w:szCs w:val="32"/>
          <w:highlight w:val="none"/>
          <w:lang w:val="en-US" w:eastAsia="zh-CN"/>
        </w:rPr>
        <w:t>536012</w:t>
      </w:r>
      <w:r>
        <w:rPr>
          <w:rFonts w:hint="eastAsia" w:ascii="仿宋_GB2312" w:hAnsi="仿宋" w:eastAsia="仿宋_GB2312" w:cs="仿宋"/>
          <w:color w:val="auto"/>
          <w:sz w:val="32"/>
          <w:szCs w:val="32"/>
          <w:lang w:val="en-US" w:eastAsia="zh-CN"/>
        </w:rPr>
        <w:t>*1.83%=9809.02元，所获利润为10490.88-9809.02=681.86元。</w:t>
      </w:r>
    </w:p>
    <w:p w14:paraId="7DC8ABAB">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3" w:firstLineChars="200"/>
        <w:jc w:val="both"/>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上述事实，主要有以下证据证明：</w:t>
      </w:r>
      <w:bookmarkStart w:id="4" w:name="OLE_LINK11"/>
    </w:p>
    <w:p w14:paraId="764ADC1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1、当事人《营业执照》复印件、经营者身份证复印件各一份，证明当事人从事食品经营的主体资格、经营者的身份信息。</w:t>
      </w:r>
    </w:p>
    <w:p w14:paraId="623E1A6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现场笔录》两份、《询问笔录》两份、《小餐饮登记证》复印件1份、《证据提取单》4份，柳州市柳北区恒香源快餐店《营业执照》复印件、《食品经营许可证》复印件各一份，证明当事人存在在柳州市柳北区柳长路12号之二A地块A2#楼1-9号商铺处未取得许可的情况下从事网络餐饮服务活动的事实。</w:t>
      </w:r>
    </w:p>
    <w:p w14:paraId="3F09076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柳州市鱼峰区桂中大鸿途餐饮店（个体工商户）《营业执照》照片复印件、《食品小作坊登记证》照片复印件，柳州市鱼峰区天丰粮油批发零售部照片复印件，柳州市昌辉贸易有限公司照片复印件，柳州市柳南区馨慧家蔬菜经营部照片复印件，柳州市高讯商贸有限公司照片复印件各一份，证明当事人的食品原料及相关产品的来源。</w:t>
      </w:r>
    </w:p>
    <w:p w14:paraId="048F7B92">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2025.11.1-2026.4.12收支统计表》复印件一份共6页，柳州市柳北区恒香源快餐店微信支付账单明细截图复印件、银行卡二维码交易对账截图复印件一份共9页、网店美团月汇总信息表复印件一份共2页、美团网店订单详情复印件一份共284页，当事人网店美团月汇总信息表复印件一份，美团订单详情复印件一份共29页。证明柳州市柳北区恒香源快餐店和当事人2025年11月1日至2026年4月12日期间的收入情况。</w:t>
      </w:r>
    </w:p>
    <w:p w14:paraId="69DAAB7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证据提取单》55份，菜的运费微信聊天截图复印件一份共6页、大米购买微信聊天截图复印件一份共8页、饮料进货微信聊天截图复印件及票据复印件一份共26页、一次性餐具购买微信聊天截图复印件及票据复印件一份共6页、商品租赁合同复印件一份共6页、门面租金转账记录截图复印件一份、门面物业管理费转账记录截图复印件一份、门面租金与物业管理费转账微信聊天截图复印件一份、燃气消费记录截图复印件一份共12页、售电报表复印件一份，工资表截图复印件一份共5页。证明柳州市柳北区恒香源快餐店和当事人2025年11月1日至2026年4月12日期间的支出情况。</w:t>
      </w:r>
    </w:p>
    <w:bookmarkEnd w:id="4"/>
    <w:p w14:paraId="5C9B68A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以上证据均由当事人、见证人签名认可。</w:t>
      </w:r>
    </w:p>
    <w:p w14:paraId="44695B5C">
      <w:pPr>
        <w:spacing w:line="54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我局于202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26</w:t>
      </w:r>
      <w:r>
        <w:rPr>
          <w:rFonts w:hint="eastAsia" w:ascii="Times New Roman" w:hAnsi="Times New Roman" w:eastAsia="仿宋_GB2312" w:cs="Times New Roman"/>
          <w:color w:val="auto"/>
          <w:sz w:val="32"/>
          <w:szCs w:val="32"/>
          <w:highlight w:val="none"/>
          <w:lang w:eastAsia="zh-CN"/>
        </w:rPr>
        <w:t>日向当事人送达了《行政处罚告知书》（柳北市监罚告〔202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49</w:t>
      </w:r>
      <w:r>
        <w:rPr>
          <w:rFonts w:hint="eastAsia" w:ascii="Times New Roman" w:hAnsi="Times New Roman" w:eastAsia="仿宋_GB2312" w:cs="Times New Roman"/>
          <w:color w:val="auto"/>
          <w:sz w:val="32"/>
          <w:szCs w:val="32"/>
          <w:highlight w:val="none"/>
          <w:lang w:eastAsia="zh-CN"/>
        </w:rPr>
        <w:t>号），告知当事人我局拟</w:t>
      </w:r>
      <w:r>
        <w:rPr>
          <w:rFonts w:hint="eastAsia" w:ascii="Times New Roman" w:hAnsi="Times New Roman" w:eastAsia="仿宋_GB2312" w:cs="Times New Roman"/>
          <w:color w:val="auto"/>
          <w:sz w:val="32"/>
          <w:szCs w:val="32"/>
          <w:highlight w:val="none"/>
          <w:lang w:val="en-US" w:eastAsia="zh-CN"/>
        </w:rPr>
        <w:t>作出</w:t>
      </w:r>
      <w:r>
        <w:rPr>
          <w:rFonts w:hint="eastAsia" w:ascii="Times New Roman" w:hAnsi="Times New Roman" w:eastAsia="仿宋_GB2312" w:cs="Times New Roman"/>
          <w:color w:val="auto"/>
          <w:sz w:val="32"/>
          <w:szCs w:val="32"/>
          <w:highlight w:val="none"/>
          <w:lang w:eastAsia="zh-CN"/>
        </w:rPr>
        <w:t xml:space="preserve">行政处罚的事实、理由、依据、处罚内容及享有的权利。当事人在法定期限内未提出陈述、申辩。      </w:t>
      </w:r>
    </w:p>
    <w:bookmarkEnd w:id="1"/>
    <w:p w14:paraId="2A6C56C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当事人在柳州市柳北区柳长路12号之二A地块A2#楼1-9号商铺处未取得许可的情况下从事网络餐饮服务活动的行为，违反了《网络餐饮服务食品安全监督管理办法》第四条</w:t>
      </w:r>
      <w:bookmarkStart w:id="5" w:name="tiao_4_kuan_1"/>
      <w:bookmarkEnd w:id="5"/>
      <w:r>
        <w:rPr>
          <w:rFonts w:hint="eastAsia" w:ascii="仿宋_GB2312" w:hAnsi="仿宋_GB2312" w:eastAsia="仿宋_GB2312" w:cs="仿宋_GB2312"/>
          <w:color w:val="auto"/>
          <w:sz w:val="32"/>
          <w:szCs w:val="32"/>
          <w:lang w:val="en-US" w:eastAsia="zh-CN"/>
        </w:rPr>
        <w:t>的规定，</w:t>
      </w:r>
      <w:r>
        <w:rPr>
          <w:rFonts w:hint="eastAsia" w:ascii="仿宋_GB2312" w:hAnsi="仿宋_GB2312" w:eastAsia="仿宋_GB2312" w:cs="仿宋_GB2312"/>
          <w:color w:val="auto"/>
          <w:sz w:val="32"/>
          <w:szCs w:val="32"/>
          <w:lang w:val="zh-CN" w:eastAsia="zh-CN"/>
        </w:rPr>
        <w:t>属于未</w:t>
      </w:r>
      <w:r>
        <w:rPr>
          <w:rFonts w:hint="eastAsia" w:ascii="仿宋_GB2312" w:hAnsi="仿宋_GB2312" w:eastAsia="仿宋_GB2312" w:cs="仿宋_GB2312"/>
          <w:color w:val="auto"/>
          <w:sz w:val="32"/>
          <w:szCs w:val="32"/>
          <w:lang w:val="en-US" w:eastAsia="zh-CN"/>
        </w:rPr>
        <w:t>依法取得食品经营许可证</w:t>
      </w:r>
      <w:r>
        <w:rPr>
          <w:rFonts w:hint="eastAsia" w:ascii="仿宋_GB2312" w:hAnsi="仿宋_GB2312" w:eastAsia="仿宋_GB2312" w:cs="仿宋_GB2312"/>
          <w:color w:val="auto"/>
          <w:sz w:val="32"/>
          <w:szCs w:val="32"/>
          <w:lang w:val="zh-CN" w:eastAsia="zh-CN"/>
        </w:rPr>
        <w:t>入网提供餐饮服务的行为。</w:t>
      </w:r>
      <w:r>
        <w:rPr>
          <w:rFonts w:hint="eastAsia" w:ascii="仿宋_GB2312" w:hAnsi="仿宋_GB2312" w:eastAsia="仿宋_GB2312" w:cs="仿宋_GB2312"/>
          <w:color w:val="auto"/>
          <w:sz w:val="32"/>
          <w:szCs w:val="32"/>
          <w:lang w:val="en-US" w:eastAsia="zh-CN"/>
        </w:rPr>
        <w:t>本案货值金额10490.88元，违法所得681.86元。</w:t>
      </w:r>
    </w:p>
    <w:p w14:paraId="0A140DC6">
      <w:pPr>
        <w:spacing w:line="540" w:lineRule="exact"/>
        <w:ind w:firstLine="640" w:firstLineChars="200"/>
        <w:rPr>
          <w:rFonts w:hint="eastAsia" w:ascii="仿宋_GB2312" w:hAnsi="仿宋_GB2312" w:eastAsia="仿宋_GB2312" w:cs="仿宋_GB2312"/>
          <w:bCs/>
          <w:color w:val="auto"/>
          <w:sz w:val="32"/>
          <w:szCs w:val="32"/>
          <w:highlight w:val="none"/>
          <w:u w:val="none" w:color="auto"/>
          <w:lang w:val="en-US" w:eastAsia="zh-CN"/>
        </w:rPr>
      </w:pPr>
      <w:r>
        <w:rPr>
          <w:rFonts w:hint="eastAsia" w:ascii="仿宋_GB2312" w:hAnsi="仿宋_GB2312" w:eastAsia="仿宋_GB2312" w:cs="仿宋_GB2312"/>
          <w:bCs/>
          <w:color w:val="auto"/>
          <w:sz w:val="32"/>
          <w:szCs w:val="32"/>
          <w:lang w:eastAsia="zh-CN"/>
        </w:rPr>
        <w:t>当事人违法行为持续时间八个月，</w:t>
      </w:r>
      <w:r>
        <w:rPr>
          <w:rFonts w:hint="eastAsia" w:ascii="仿宋_GB2312" w:hAnsi="仿宋_GB2312" w:eastAsia="仿宋_GB2312" w:cs="仿宋_GB2312"/>
          <w:b w:val="0"/>
          <w:bCs w:val="0"/>
          <w:color w:val="auto"/>
          <w:kern w:val="0"/>
          <w:sz w:val="32"/>
          <w:szCs w:val="32"/>
          <w:u w:val="none" w:color="auto"/>
          <w:lang w:val="en-US" w:eastAsia="zh-CN" w:bidi="ar"/>
        </w:rPr>
        <w:t>违法经营额10490.88元。</w:t>
      </w:r>
      <w:r>
        <w:rPr>
          <w:rFonts w:hint="eastAsia" w:ascii="仿宋_GB2312" w:hAnsi="仿宋_GB2312" w:eastAsia="仿宋_GB2312" w:cs="仿宋_GB2312"/>
          <w:bCs/>
          <w:color w:val="auto"/>
          <w:sz w:val="32"/>
          <w:szCs w:val="32"/>
          <w:lang w:eastAsia="zh-CN"/>
        </w:rPr>
        <w:t>在案件调查过程中当事人</w:t>
      </w:r>
      <w:r>
        <w:rPr>
          <w:rFonts w:hint="eastAsia" w:ascii="仿宋_GB2312" w:hAnsi="仿宋_GB2312" w:eastAsia="仿宋_GB2312" w:cs="仿宋_GB2312"/>
          <w:color w:val="auto"/>
          <w:sz w:val="32"/>
          <w:szCs w:val="32"/>
          <w:lang w:val="en-US" w:eastAsia="zh-CN"/>
        </w:rPr>
        <w:t>积极配合我局调查，如实陈述违法事实，主动提供从事网络餐饮的收入和支出的相关证据材料，</w:t>
      </w:r>
      <w:r>
        <w:rPr>
          <w:rFonts w:hint="eastAsia" w:ascii="仿宋_GB2312" w:hAnsi="仿宋_GB2312" w:eastAsia="仿宋_GB2312" w:cs="仿宋_GB2312"/>
          <w:bCs/>
          <w:strike w:val="0"/>
          <w:dstrike w:val="0"/>
          <w:color w:val="auto"/>
          <w:sz w:val="32"/>
          <w:szCs w:val="32"/>
          <w:lang w:val="en-US" w:eastAsia="zh-CN"/>
        </w:rPr>
        <w:t>积极整改，下架违规网店，主动减轻违法行为危害后果，</w:t>
      </w:r>
      <w:r>
        <w:rPr>
          <w:rFonts w:hint="eastAsia" w:ascii="仿宋_GB2312" w:hAnsi="仿宋_GB2312" w:eastAsia="仿宋_GB2312" w:cs="仿宋_GB2312"/>
          <w:color w:val="auto"/>
          <w:sz w:val="32"/>
          <w:szCs w:val="32"/>
          <w:highlight w:val="none"/>
          <w:u w:val="none"/>
          <w:lang w:val="en-US" w:eastAsia="zh-CN"/>
        </w:rPr>
        <w:t>未造成食品安全事故等人身危害后果</w:t>
      </w:r>
      <w:r>
        <w:rPr>
          <w:rFonts w:hint="eastAsia" w:ascii="仿宋_GB2312" w:hAnsi="仿宋_GB2312" w:eastAsia="仿宋_GB2312" w:cs="仿宋_GB2312"/>
          <w:bCs/>
          <w:strike w:val="0"/>
          <w:dstrike w:val="0"/>
          <w:color w:val="auto"/>
          <w:sz w:val="32"/>
          <w:szCs w:val="32"/>
          <w:lang w:val="en-US" w:eastAsia="zh-CN"/>
        </w:rPr>
        <w:t>。当事人</w:t>
      </w:r>
      <w:r>
        <w:rPr>
          <w:rFonts w:hint="eastAsia" w:ascii="仿宋_GB2312" w:hAnsi="仿宋_GB2312" w:eastAsia="仿宋_GB2312" w:cs="仿宋_GB2312"/>
          <w:bCs/>
          <w:color w:val="auto"/>
          <w:sz w:val="32"/>
          <w:szCs w:val="32"/>
          <w:highlight w:val="none"/>
          <w:u w:val="none" w:color="auto"/>
          <w:lang w:val="en-US" w:eastAsia="zh-CN"/>
        </w:rPr>
        <w:t>具有市场监管总局《关于规范市场监督管理行政处罚裁量权的指导意见》</w:t>
      </w:r>
      <w:r>
        <w:rPr>
          <w:rFonts w:hint="default" w:ascii="仿宋_GB2312" w:hAnsi="仿宋_GB2312" w:eastAsia="仿宋_GB2312" w:cs="仿宋_GB2312"/>
          <w:bCs/>
          <w:strike w:val="0"/>
          <w:dstrike w:val="0"/>
          <w:color w:val="auto"/>
          <w:sz w:val="32"/>
          <w:szCs w:val="32"/>
          <w:lang w:val="en-US" w:eastAsia="zh-CN"/>
        </w:rPr>
        <w:t>第十三条第一款第二项</w:t>
      </w:r>
      <w:r>
        <w:rPr>
          <w:rFonts w:hint="default" w:ascii="Times New Roman" w:hAnsi="Times New Roman" w:eastAsia="仿宋_GB2312" w:cs="Times New Roman"/>
          <w:color w:val="auto"/>
          <w:sz w:val="32"/>
          <w:szCs w:val="32"/>
        </w:rPr>
        <w:t>、</w:t>
      </w:r>
      <w:r>
        <w:rPr>
          <w:rFonts w:hint="eastAsia" w:ascii="仿宋_GB2312" w:hAnsi="仿宋_GB2312" w:eastAsia="仿宋_GB2312" w:cs="仿宋_GB2312"/>
          <w:bCs/>
          <w:color w:val="auto"/>
          <w:sz w:val="32"/>
          <w:szCs w:val="32"/>
          <w:highlight w:val="none"/>
          <w:u w:val="none" w:color="auto"/>
          <w:lang w:val="en-US" w:eastAsia="zh-CN"/>
        </w:rPr>
        <w:t>第十四条</w:t>
      </w:r>
      <w:r>
        <w:rPr>
          <w:rFonts w:hint="eastAsia" w:ascii="仿宋_GB2312" w:hAnsi="仿宋_GB2312" w:eastAsia="仿宋_GB2312" w:cs="仿宋_GB2312"/>
          <w:color w:val="auto"/>
          <w:sz w:val="32"/>
          <w:szCs w:val="32"/>
          <w:highlight w:val="none"/>
          <w:u w:val="none" w:color="auto"/>
          <w:lang w:val="en-US" w:eastAsia="zh-CN"/>
        </w:rPr>
        <w:t>第一款</w:t>
      </w:r>
      <w:r>
        <w:rPr>
          <w:rFonts w:hint="eastAsia" w:ascii="仿宋_GB2312" w:hAnsi="仿宋_GB2312" w:eastAsia="仿宋_GB2312" w:cs="仿宋_GB2312"/>
          <w:bCs/>
          <w:color w:val="auto"/>
          <w:sz w:val="32"/>
          <w:szCs w:val="32"/>
          <w:highlight w:val="none"/>
          <w:u w:val="none" w:color="auto"/>
          <w:lang w:val="en-US" w:eastAsia="zh-CN"/>
        </w:rPr>
        <w:t>第二项规定的依法从轻或者减轻行政处罚的情形。依据《中华人民共和国行政处罚法》第五条、第六条、</w:t>
      </w:r>
      <w:r>
        <w:rPr>
          <w:rFonts w:hint="default" w:ascii="仿宋_GB2312" w:hAnsi="仿宋_GB2312" w:eastAsia="仿宋_GB2312" w:cs="仿宋_GB2312"/>
          <w:bCs/>
          <w:color w:val="auto"/>
          <w:sz w:val="32"/>
          <w:szCs w:val="32"/>
          <w:highlight w:val="none"/>
          <w:u w:val="none" w:color="auto"/>
          <w:lang w:val="en-US" w:eastAsia="zh-CN"/>
        </w:rPr>
        <w:t>第三十二条第一款第一项</w:t>
      </w:r>
      <w:r>
        <w:rPr>
          <w:rFonts w:hint="eastAsia" w:ascii="仿宋_GB2312" w:hAnsi="仿宋_GB2312" w:eastAsia="仿宋_GB2312" w:cs="仿宋_GB2312"/>
          <w:bCs/>
          <w:color w:val="auto"/>
          <w:sz w:val="32"/>
          <w:szCs w:val="32"/>
          <w:highlight w:val="none"/>
          <w:u w:val="none" w:color="auto"/>
          <w:lang w:val="en-US" w:eastAsia="zh-CN"/>
        </w:rPr>
        <w:t>的规定，综合考量，我局决定对当事人减轻行政处罚。</w:t>
      </w:r>
    </w:p>
    <w:p w14:paraId="6F2554F1">
      <w:pPr>
        <w:keepNext w:val="0"/>
        <w:keepLines w:val="0"/>
        <w:pageBreakBefore w:val="0"/>
        <w:widowControl w:val="0"/>
        <w:kinsoku/>
        <w:wordWrap w:val="0"/>
        <w:overflowPunct/>
        <w:topLinePunct w:val="0"/>
        <w:autoSpaceDE/>
        <w:autoSpaceDN/>
        <w:bidi w:val="0"/>
        <w:adjustRightInd/>
        <w:snapToGrid/>
        <w:spacing w:line="490" w:lineRule="exact"/>
        <w:ind w:left="0" w:leftChars="0" w:right="0" w:rightChars="0" w:firstLine="640" w:firstLineChars="200"/>
        <w:jc w:val="left"/>
        <w:textAlignment w:val="auto"/>
        <w:outlineLvl w:val="9"/>
        <w:rPr>
          <w:rFonts w:hint="eastAsia" w:ascii="仿宋_GB2312" w:hAnsi="仿宋_GB2312" w:eastAsia="仿宋_GB2312" w:cs="仿宋_GB2312"/>
          <w:bCs/>
          <w:strike w:val="0"/>
          <w:dstrike w:val="0"/>
          <w:color w:val="auto"/>
          <w:sz w:val="32"/>
          <w:szCs w:val="32"/>
          <w:u w:val="none"/>
          <w:lang w:val="en-US" w:eastAsia="zh-CN"/>
        </w:rPr>
      </w:pPr>
      <w:r>
        <w:rPr>
          <w:rFonts w:hint="eastAsia" w:ascii="仿宋_GB2312" w:hAnsi="仿宋_GB2312" w:eastAsia="仿宋_GB2312" w:cs="仿宋_GB2312"/>
          <w:color w:val="auto"/>
          <w:sz w:val="32"/>
          <w:szCs w:val="32"/>
          <w:u w:val="none" w:color="auto"/>
          <w:lang w:val="zh-CN" w:eastAsia="zh-CN"/>
        </w:rPr>
        <w:t>依据</w:t>
      </w:r>
      <w:r>
        <w:rPr>
          <w:rFonts w:hint="eastAsia" w:ascii="仿宋_GB2312" w:hAnsi="仿宋_GB2312" w:eastAsia="仿宋_GB2312" w:cs="仿宋_GB2312"/>
          <w:b w:val="0"/>
          <w:bCs w:val="0"/>
          <w:color w:val="auto"/>
          <w:sz w:val="32"/>
          <w:szCs w:val="32"/>
          <w:u w:val="none" w:color="auto"/>
          <w:lang w:val="en-US" w:eastAsia="zh-CN"/>
        </w:rPr>
        <w:t>《网络餐饮服务食品安全监督管理办法》第二十七条</w:t>
      </w:r>
      <w:bookmarkStart w:id="6" w:name="tiao_27_kuan_1"/>
      <w:bookmarkEnd w:id="6"/>
      <w:r>
        <w:rPr>
          <w:rFonts w:hint="eastAsia" w:ascii="仿宋_GB2312" w:hAnsi="仿宋_GB2312" w:eastAsia="仿宋_GB2312" w:cs="仿宋_GB2312"/>
          <w:color w:val="auto"/>
          <w:sz w:val="32"/>
          <w:szCs w:val="32"/>
          <w:u w:val="none" w:color="auto"/>
          <w:lang w:val="zh-CN" w:eastAsia="zh-CN"/>
        </w:rPr>
        <w:t>、</w:t>
      </w:r>
      <w:r>
        <w:rPr>
          <w:rFonts w:hint="default" w:ascii="仿宋_GB2312" w:hAnsi="仿宋_GB2312" w:eastAsia="仿宋_GB2312" w:cs="仿宋_GB2312"/>
          <w:color w:val="auto"/>
          <w:sz w:val="32"/>
          <w:szCs w:val="32"/>
          <w:u w:val="none" w:color="auto"/>
          <w:lang w:val="zh-CN" w:eastAsia="zh-CN"/>
        </w:rPr>
        <w:t>《</w:t>
      </w:r>
      <w:r>
        <w:rPr>
          <w:rFonts w:hint="eastAsia" w:ascii="仿宋_GB2312" w:hAnsi="仿宋_GB2312" w:eastAsia="仿宋_GB2312" w:cs="仿宋_GB2312"/>
          <w:color w:val="auto"/>
          <w:sz w:val="32"/>
          <w:szCs w:val="32"/>
          <w:u w:val="none" w:color="auto"/>
          <w:lang w:val="zh-CN" w:eastAsia="zh-CN"/>
        </w:rPr>
        <w:t>中华人民共和国食品安全法</w:t>
      </w:r>
      <w:r>
        <w:rPr>
          <w:rFonts w:hint="default" w:ascii="仿宋_GB2312" w:hAnsi="仿宋_GB2312" w:eastAsia="仿宋_GB2312" w:cs="仿宋_GB2312"/>
          <w:color w:val="auto"/>
          <w:sz w:val="32"/>
          <w:szCs w:val="32"/>
          <w:u w:val="none" w:color="auto"/>
          <w:lang w:val="zh-CN" w:eastAsia="zh-CN"/>
        </w:rPr>
        <w:t>》</w:t>
      </w:r>
      <w:r>
        <w:rPr>
          <w:rFonts w:hint="eastAsia" w:ascii="仿宋_GB2312" w:hAnsi="仿宋_GB2312" w:eastAsia="仿宋_GB2312" w:cs="仿宋_GB2312"/>
          <w:color w:val="auto"/>
          <w:sz w:val="32"/>
          <w:szCs w:val="32"/>
          <w:u w:val="none" w:color="auto"/>
          <w:lang w:val="zh-CN" w:eastAsia="zh-CN"/>
        </w:rPr>
        <w:t>第一百二十二条</w:t>
      </w:r>
      <w:bookmarkStart w:id="7" w:name="tiao_122_kuan_1"/>
      <w:bookmarkEnd w:id="7"/>
      <w:r>
        <w:rPr>
          <w:rFonts w:hint="eastAsia" w:ascii="仿宋_GB2312" w:hAnsi="仿宋_GB2312" w:eastAsia="仿宋_GB2312" w:cs="仿宋_GB2312"/>
          <w:color w:val="auto"/>
          <w:sz w:val="32"/>
          <w:szCs w:val="32"/>
          <w:u w:val="none" w:color="auto"/>
          <w:lang w:val="zh-CN" w:eastAsia="zh-CN"/>
        </w:rPr>
        <w:t>第一款、《中华人民共和国行政处罚法》第二十八条第一款的规定，</w:t>
      </w:r>
      <w:r>
        <w:rPr>
          <w:rFonts w:hint="eastAsia" w:ascii="仿宋_GB2312" w:hAnsi="仿宋_GB2312" w:eastAsia="仿宋_GB2312" w:cs="仿宋_GB2312"/>
          <w:bCs/>
          <w:strike w:val="0"/>
          <w:dstrike w:val="0"/>
          <w:color w:val="auto"/>
          <w:sz w:val="32"/>
          <w:szCs w:val="32"/>
          <w:u w:val="none"/>
          <w:lang w:val="en-US" w:eastAsia="zh-CN"/>
        </w:rPr>
        <w:t>我局决定责令当事人立即改正上述违法行为，并对当事人处以以下行政处罚：</w:t>
      </w:r>
    </w:p>
    <w:p w14:paraId="6F39A05F">
      <w:pPr>
        <w:keepNext w:val="0"/>
        <w:keepLines w:val="0"/>
        <w:pageBreakBefore w:val="0"/>
        <w:widowControl w:val="0"/>
        <w:kinsoku/>
        <w:wordWrap w:val="0"/>
        <w:overflowPunct/>
        <w:topLinePunct w:val="0"/>
        <w:autoSpaceDE/>
        <w:autoSpaceDN/>
        <w:bidi w:val="0"/>
        <w:adjustRightInd/>
        <w:snapToGrid/>
        <w:spacing w:line="490" w:lineRule="exact"/>
        <w:ind w:left="0" w:leftChars="0" w:right="0" w:rightChars="0" w:firstLine="640" w:firstLineChars="200"/>
        <w:jc w:val="left"/>
        <w:textAlignment w:val="auto"/>
        <w:outlineLvl w:val="9"/>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1.没收违法所得</w:t>
      </w:r>
      <w:r>
        <w:rPr>
          <w:rFonts w:hint="eastAsia" w:ascii="仿宋_GB2312" w:hAnsi="仿宋" w:eastAsia="仿宋_GB2312" w:cs="仿宋"/>
          <w:color w:val="auto"/>
          <w:sz w:val="32"/>
          <w:szCs w:val="32"/>
          <w:lang w:val="en-US" w:eastAsia="zh-CN"/>
        </w:rPr>
        <w:t>681.86元</w:t>
      </w:r>
    </w:p>
    <w:p w14:paraId="79CF1224">
      <w:pPr>
        <w:keepNext w:val="0"/>
        <w:keepLines w:val="0"/>
        <w:pageBreakBefore w:val="0"/>
        <w:widowControl w:val="0"/>
        <w:kinsoku/>
        <w:wordWrap w:val="0"/>
        <w:overflowPunct/>
        <w:topLinePunct w:val="0"/>
        <w:autoSpaceDE/>
        <w:autoSpaceDN/>
        <w:bidi w:val="0"/>
        <w:adjustRightInd/>
        <w:snapToGrid/>
        <w:spacing w:line="490" w:lineRule="exact"/>
        <w:ind w:left="0" w:leftChars="0" w:right="0" w:rightChars="0" w:firstLine="640" w:firstLineChars="200"/>
        <w:jc w:val="left"/>
        <w:textAlignment w:val="auto"/>
        <w:outlineLvl w:val="9"/>
        <w:rPr>
          <w:rFonts w:hint="eastAsia" w:ascii="仿宋_GB2312" w:hAnsi="仿宋_GB2312" w:eastAsia="仿宋_GB2312" w:cs="仿宋_GB2312"/>
          <w:bCs/>
          <w:color w:val="auto"/>
          <w:sz w:val="32"/>
          <w:szCs w:val="32"/>
          <w:u w:val="none"/>
          <w:lang w:val="en-US" w:eastAsia="zh-CN"/>
        </w:rPr>
      </w:pPr>
      <w:r>
        <w:rPr>
          <w:rFonts w:hint="eastAsia" w:ascii="仿宋_GB2312" w:hAnsi="仿宋_GB2312" w:eastAsia="仿宋_GB2312" w:cs="仿宋_GB2312"/>
          <w:bCs/>
          <w:color w:val="auto"/>
          <w:sz w:val="32"/>
          <w:szCs w:val="32"/>
          <w:u w:val="none"/>
          <w:lang w:val="en-US" w:eastAsia="zh-CN"/>
        </w:rPr>
        <w:t>2.</w:t>
      </w:r>
      <w:r>
        <w:rPr>
          <w:rFonts w:hint="eastAsia" w:ascii="仿宋_GB2312" w:hAnsi="仿宋_GB2312" w:eastAsia="仿宋_GB2312" w:cs="仿宋_GB2312"/>
          <w:bCs/>
          <w:color w:val="auto"/>
          <w:sz w:val="32"/>
          <w:szCs w:val="32"/>
          <w:highlight w:val="none"/>
          <w:u w:val="none"/>
          <w:lang w:val="en-US" w:eastAsia="zh-CN"/>
        </w:rPr>
        <w:t>罚款8000元</w:t>
      </w:r>
      <w:r>
        <w:rPr>
          <w:rFonts w:hint="eastAsia" w:ascii="仿宋_GB2312" w:hAnsi="仿宋_GB2312" w:eastAsia="仿宋_GB2312" w:cs="仿宋_GB2312"/>
          <w:bCs/>
          <w:color w:val="auto"/>
          <w:sz w:val="32"/>
          <w:szCs w:val="32"/>
          <w:u w:val="none"/>
          <w:lang w:val="en-US" w:eastAsia="zh-CN"/>
        </w:rPr>
        <w:t>。</w:t>
      </w:r>
    </w:p>
    <w:p w14:paraId="5D898837">
      <w:pPr>
        <w:keepNext w:val="0"/>
        <w:keepLines w:val="0"/>
        <w:pageBreakBefore w:val="0"/>
        <w:kinsoku/>
        <w:wordWrap/>
        <w:overflowPunct/>
        <w:topLinePunct w:val="0"/>
        <w:bidi w:val="0"/>
        <w:snapToGrid/>
        <w:spacing w:line="50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仿宋_GB2312" w:hAnsi="仿宋_GB2312" w:eastAsia="仿宋_GB2312" w:cs="仿宋_GB2312"/>
          <w:bCs/>
          <w:color w:val="auto"/>
          <w:sz w:val="32"/>
          <w:szCs w:val="32"/>
          <w:lang w:val="en-US" w:eastAsia="zh-CN"/>
        </w:rPr>
        <w:t>上述罚没款合计金额为8</w:t>
      </w:r>
      <w:r>
        <w:rPr>
          <w:rFonts w:hint="eastAsia" w:ascii="仿宋_GB2312" w:hAnsi="仿宋" w:eastAsia="仿宋_GB2312" w:cs="仿宋"/>
          <w:color w:val="auto"/>
          <w:sz w:val="32"/>
          <w:szCs w:val="32"/>
          <w:lang w:val="en-US" w:eastAsia="zh-CN"/>
        </w:rPr>
        <w:t>681.86</w:t>
      </w:r>
      <w:r>
        <w:rPr>
          <w:rFonts w:hint="eastAsia" w:ascii="仿宋_GB2312" w:hAnsi="仿宋_GB2312" w:eastAsia="仿宋_GB2312" w:cs="仿宋_GB2312"/>
          <w:bCs/>
          <w:color w:val="auto"/>
          <w:sz w:val="32"/>
          <w:szCs w:val="32"/>
          <w:lang w:val="en-US" w:eastAsia="zh-CN"/>
        </w:rPr>
        <w:t>元。</w:t>
      </w:r>
      <w:r>
        <w:rPr>
          <w:rFonts w:hint="eastAsia" w:ascii="Times New Roman" w:hAnsi="Times New Roman" w:eastAsia="仿宋_GB2312" w:cs="Times New Roman"/>
          <w:color w:val="auto"/>
          <w:sz w:val="32"/>
          <w:szCs w:val="32"/>
          <w:highlight w:val="none"/>
          <w:lang w:eastAsia="zh-CN"/>
        </w:rPr>
        <w:t xml:space="preserve">  </w:t>
      </w:r>
    </w:p>
    <w:p w14:paraId="0C0D56AE">
      <w:pPr>
        <w:spacing w:line="54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当事人应当自收到本行政处罚决定书之日起十五日内，</w:t>
      </w:r>
      <w:r>
        <w:rPr>
          <w:rFonts w:hint="eastAsia" w:ascii="Times New Roman" w:hAnsi="Times New Roman" w:eastAsia="仿宋_GB2312" w:cs="Times New Roman"/>
          <w:color w:val="auto"/>
          <w:sz w:val="32"/>
          <w:szCs w:val="32"/>
          <w:highlight w:val="none"/>
          <w:lang w:eastAsia="zh-CN"/>
        </w:rPr>
        <w:t>凭《广西壮族自治区非税收入电子缴款通知书》到中国建设银行缴纳罚没款</w:t>
      </w:r>
      <w:r>
        <w:rPr>
          <w:rFonts w:hint="eastAsia" w:ascii="Times New Roman" w:hAnsi="Times New Roman" w:eastAsia="仿宋_GB2312" w:cs="Times New Roman"/>
          <w:color w:val="auto"/>
          <w:sz w:val="32"/>
          <w:szCs w:val="32"/>
          <w:highlight w:val="none"/>
          <w:lang w:val="en-US" w:eastAsia="zh-CN"/>
        </w:rPr>
        <w:t>。逾期不缴纳罚款的，依据《中华人民共和国行政处罚法》第七十二条的规定，我局将依法申请人民法院强制执行。</w:t>
      </w:r>
      <w:r>
        <w:rPr>
          <w:rFonts w:hint="eastAsia" w:ascii="Times New Roman" w:hAnsi="Times New Roman" w:eastAsia="仿宋_GB2312" w:cs="Times New Roman"/>
          <w:color w:val="auto"/>
          <w:sz w:val="32"/>
          <w:szCs w:val="32"/>
          <w:highlight w:val="none"/>
          <w:lang w:eastAsia="zh-CN"/>
        </w:rPr>
        <w:t xml:space="preserve">                       </w:t>
      </w:r>
    </w:p>
    <w:p w14:paraId="2E88FEAE">
      <w:pPr>
        <w:spacing w:line="54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eastAsia="zh-CN"/>
        </w:rPr>
        <w:t>当事人如不服本行政处罚决定，可以在接到本行政处罚决定书之日起六十日内向柳州市柳北区人民政府申请行政复议；也可以在六个月内依法向柳州市柳南区人民法院提起行政诉讼。</w:t>
      </w:r>
      <w:r>
        <w:rPr>
          <w:rFonts w:hint="eastAsia" w:ascii="Times New Roman" w:hAnsi="Times New Roman" w:eastAsia="仿宋_GB2312" w:cs="Times New Roman"/>
          <w:color w:val="auto"/>
          <w:sz w:val="32"/>
          <w:szCs w:val="32"/>
          <w:highlight w:val="none"/>
          <w:lang w:val="en-US" w:eastAsia="zh-CN"/>
        </w:rPr>
        <w:t>申请行政复议或者提起行政诉讼期间，行政处罚不停止执行。</w:t>
      </w:r>
    </w:p>
    <w:p w14:paraId="4023B9B2">
      <w:pPr>
        <w:pStyle w:val="2"/>
        <w:rPr>
          <w:rFonts w:hint="eastAsia"/>
          <w:color w:val="auto"/>
          <w:lang w:eastAsia="zh-CN"/>
        </w:rPr>
      </w:pPr>
    </w:p>
    <w:p w14:paraId="5FD1C5BF">
      <w:pPr>
        <w:spacing w:line="540" w:lineRule="exact"/>
        <w:ind w:firstLine="4480" w:firstLineChars="14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柳州市柳北区市场监督管理局</w:t>
      </w:r>
    </w:p>
    <w:p w14:paraId="3548E528">
      <w:pPr>
        <w:spacing w:line="540" w:lineRule="exact"/>
        <w:ind w:firstLine="640" w:firstLineChars="20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 xml:space="preserve">                            </w:t>
      </w:r>
      <w:r>
        <w:rPr>
          <w:rFonts w:hint="eastAsia"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eastAsia="zh-CN"/>
        </w:rPr>
        <w:t xml:space="preserve"> 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eastAsia="zh-CN"/>
        </w:rPr>
        <w:t>年</w:t>
      </w:r>
      <w:r>
        <w:rPr>
          <w:rFonts w:hint="eastAsia" w:ascii="Times New Roman" w:hAnsi="Times New Roman" w:eastAsia="仿宋_GB2312" w:cs="Times New Roman"/>
          <w:color w:val="auto"/>
          <w:sz w:val="32"/>
          <w:szCs w:val="32"/>
          <w:highlight w:val="none"/>
          <w:lang w:val="en-US" w:eastAsia="zh-CN"/>
        </w:rPr>
        <w:t>7</w:t>
      </w:r>
      <w:r>
        <w:rPr>
          <w:rFonts w:hint="eastAsia" w:ascii="Times New Roman" w:hAnsi="Times New Roman" w:eastAsia="仿宋_GB2312" w:cs="Times New Roman"/>
          <w:color w:val="auto"/>
          <w:sz w:val="32"/>
          <w:szCs w:val="32"/>
          <w:highlight w:val="none"/>
          <w:lang w:eastAsia="zh-CN"/>
        </w:rPr>
        <w:t>月</w:t>
      </w:r>
      <w:r>
        <w:rPr>
          <w:rFonts w:hint="eastAsia" w:ascii="Times New Roman" w:hAnsi="Times New Roman"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lang w:eastAsia="zh-CN"/>
        </w:rPr>
        <w:t>日</w:t>
      </w:r>
    </w:p>
    <w:p w14:paraId="5BF6D6CC">
      <w:pPr>
        <w:pStyle w:val="2"/>
        <w:rPr>
          <w:rFonts w:hint="eastAsia"/>
          <w:color w:val="auto"/>
          <w:lang w:val="en-US" w:eastAsia="zh-CN"/>
        </w:rPr>
      </w:pPr>
    </w:p>
    <w:bookmarkEnd w:id="2"/>
    <w:p w14:paraId="55EE0646">
      <w:pPr>
        <w:keepNext w:val="0"/>
        <w:keepLines w:val="0"/>
        <w:pageBreakBefore w:val="0"/>
        <w:widowControl w:val="0"/>
        <w:kinsoku/>
        <w:wordWrap/>
        <w:overflowPunct/>
        <w:topLinePunct w:val="0"/>
        <w:autoSpaceDE/>
        <w:autoSpaceDN/>
        <w:bidi w:val="0"/>
        <w:adjustRightInd/>
        <w:snapToGrid/>
        <w:spacing w:line="400" w:lineRule="exact"/>
        <w:ind w:right="-105" w:rightChars="-50" w:firstLine="0" w:firstLineChars="0"/>
        <w:jc w:val="both"/>
        <w:textAlignment w:val="auto"/>
        <w:outlineLvl w:val="9"/>
        <w:rPr>
          <w:rFonts w:ascii="仿宋_GB2312" w:hAnsi="仿宋_GB2312" w:eastAsia="仿宋_GB2312" w:cs="仿宋_GB2312"/>
          <w:b/>
          <w:color w:val="auto"/>
          <w:sz w:val="32"/>
          <w:szCs w:val="32"/>
        </w:rPr>
      </w:pPr>
      <w:r>
        <w:rPr>
          <w:rFonts w:hint="eastAsia" w:ascii="黑体" w:hAnsi="黑体" w:eastAsia="黑体" w:cs="黑体"/>
          <w:b w:val="0"/>
          <w:bCs/>
          <w:color w:val="auto"/>
          <w:sz w:val="32"/>
          <w:szCs w:val="32"/>
          <w:u w:val="none"/>
        </w:rPr>
        <w:t>(市场监督管理部门将依法向社会公示本行政处罚决定信息）</w:t>
      </w:r>
    </w:p>
    <w:p w14:paraId="2B90CCBA">
      <w:pPr>
        <w:keepNext w:val="0"/>
        <w:keepLines w:val="0"/>
        <w:pageBreakBefore w:val="0"/>
        <w:widowControl w:val="0"/>
        <w:kinsoku/>
        <w:wordWrap/>
        <w:overflowPunct/>
        <w:topLinePunct w:val="0"/>
        <w:autoSpaceDE/>
        <w:autoSpaceDN/>
        <w:bidi w:val="0"/>
        <w:adjustRightInd/>
        <w:snapToGrid/>
        <w:spacing w:line="400" w:lineRule="exact"/>
        <w:ind w:left="-105" w:leftChars="-50" w:right="-105" w:rightChars="-50" w:firstLine="0" w:firstLineChars="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u w:val="none"/>
        </w:rPr>
        <mc:AlternateContent>
          <mc:Choice Requires="wps">
            <w:drawing>
              <wp:anchor distT="0" distB="0" distL="114300" distR="114300" simplePos="0" relativeHeight="251660288" behindDoc="0" locked="0" layoutInCell="1" allowOverlap="1">
                <wp:simplePos x="0" y="0"/>
                <wp:positionH relativeFrom="column">
                  <wp:posOffset>-144780</wp:posOffset>
                </wp:positionH>
                <wp:positionV relativeFrom="paragraph">
                  <wp:posOffset>-1270</wp:posOffset>
                </wp:positionV>
                <wp:extent cx="5995035" cy="20320"/>
                <wp:effectExtent l="0" t="4445" r="5715" b="13335"/>
                <wp:wrapNone/>
                <wp:docPr id="2" name="直接连接符 2"/>
                <wp:cNvGraphicFramePr/>
                <a:graphic xmlns:a="http://schemas.openxmlformats.org/drawingml/2006/main">
                  <a:graphicData uri="http://schemas.microsoft.com/office/word/2010/wordprocessingShape">
                    <wps:wsp>
                      <wps:cNvCnPr/>
                      <wps:spPr>
                        <a:xfrm flipV="1">
                          <a:off x="0" y="0"/>
                          <a:ext cx="5995035" cy="2032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11.4pt;margin-top:-0.1pt;height:1.6pt;width:472.05pt;z-index:251660288;mso-width-relative:page;mso-height-relative:page;" filled="f" stroked="t" coordsize="21600,21600" o:gfxdata="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VkmJe1QAAAAcBAAAPAAAAAAAAAAEAIAAAACIAAABkcnMv&#10;ZG93bnJldi54bWxQSwECFAAUAAAACACHTuJAE02dtgYCAAAABAAADgAAAAAAAAABACAAAAAkAQAA&#10;ZHJzL2Uyb0RvYy54bWxQSwUGAAAAAAYABgBZAQAAnAU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z w:val="32"/>
          <w:szCs w:val="32"/>
          <w:u w:val="none"/>
        </w:rPr>
        <w:t>本文书一式三份，一份送达，一份归档，一份办案单位留存。</w:t>
      </w:r>
    </w:p>
    <w:sectPr>
      <w:headerReference r:id="rId3" w:type="default"/>
      <w:footerReference r:id="rId4" w:type="default"/>
      <w:pgSz w:w="11906" w:h="16838"/>
      <w:pgMar w:top="1417" w:right="1229" w:bottom="1417" w:left="1437" w:header="851" w:footer="85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FD52">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CF3DFB">
                          <w:pPr>
                            <w:pStyle w:val="3"/>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X96c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J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rJf3pzgCAABvBAAADgAAAAAAAAABACAAAAAfAQAAZHJzL2Uyb0RvYy54&#10;bWxQSwUGAAAAAAYABgBZAQAAyQUAAAAA&#10;">
              <v:fill on="f" focussize="0,0"/>
              <v:stroke on="f" weight="0.5pt"/>
              <v:imagedata o:title=""/>
              <o:lock v:ext="edit" aspectratio="f"/>
              <v:textbox inset="0mm,0mm,0mm,0mm" style="mso-fit-shape-to-text:t;">
                <w:txbxContent>
                  <w:p w14:paraId="46CF3DFB">
                    <w:pPr>
                      <w:pStyle w:val="3"/>
                      <w:rPr>
                        <w:rFonts w:eastAsia="宋体"/>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 共 </w:t>
                    </w:r>
                    <w:r>
                      <w:fldChar w:fldCharType="begin"/>
                    </w:r>
                    <w:r>
                      <w:instrText xml:space="preserve"> NUMPAGES  \* MERGEFORMAT </w:instrText>
                    </w:r>
                    <w:r>
                      <w:fldChar w:fldCharType="separate"/>
                    </w:r>
                    <w:r>
                      <w:t>4</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67513">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3YTBkMWQ0YjY1ZmFkN2U0ODZmZjg4MjdlNzIxZTIifQ=="/>
    <w:docVar w:name="KSO_WPS_MARK_KEY" w:val="0a1346c9-76b6-409f-9296-d22859e3d45e"/>
  </w:docVars>
  <w:rsids>
    <w:rsidRoot w:val="009F3D20"/>
    <w:rsid w:val="00452D7A"/>
    <w:rsid w:val="00571EF1"/>
    <w:rsid w:val="005C29E1"/>
    <w:rsid w:val="00615BC7"/>
    <w:rsid w:val="009536D0"/>
    <w:rsid w:val="009F3D20"/>
    <w:rsid w:val="00A846EF"/>
    <w:rsid w:val="00B84D6A"/>
    <w:rsid w:val="00F92F9B"/>
    <w:rsid w:val="01133753"/>
    <w:rsid w:val="01746C6F"/>
    <w:rsid w:val="01F054BC"/>
    <w:rsid w:val="01F70EC8"/>
    <w:rsid w:val="01F82284"/>
    <w:rsid w:val="01FC2F87"/>
    <w:rsid w:val="02076F1C"/>
    <w:rsid w:val="028D45DD"/>
    <w:rsid w:val="02FC3343"/>
    <w:rsid w:val="037D5B64"/>
    <w:rsid w:val="04A44C1C"/>
    <w:rsid w:val="050C66E8"/>
    <w:rsid w:val="05AA3F3C"/>
    <w:rsid w:val="05C74A0B"/>
    <w:rsid w:val="061255AF"/>
    <w:rsid w:val="08B700B5"/>
    <w:rsid w:val="09183D69"/>
    <w:rsid w:val="097E6828"/>
    <w:rsid w:val="09FC73DF"/>
    <w:rsid w:val="0A3930ED"/>
    <w:rsid w:val="0AEF28D0"/>
    <w:rsid w:val="0B200F4F"/>
    <w:rsid w:val="0B6C5804"/>
    <w:rsid w:val="0BA13F3D"/>
    <w:rsid w:val="0BAD4BBE"/>
    <w:rsid w:val="0D916539"/>
    <w:rsid w:val="0E322633"/>
    <w:rsid w:val="0EEA79A9"/>
    <w:rsid w:val="0F100C45"/>
    <w:rsid w:val="0F2133BE"/>
    <w:rsid w:val="0F610C24"/>
    <w:rsid w:val="10A87B1C"/>
    <w:rsid w:val="113B358D"/>
    <w:rsid w:val="13250ADD"/>
    <w:rsid w:val="14401311"/>
    <w:rsid w:val="158D151C"/>
    <w:rsid w:val="16A110D6"/>
    <w:rsid w:val="17154EC8"/>
    <w:rsid w:val="195F080A"/>
    <w:rsid w:val="1B6D18C5"/>
    <w:rsid w:val="1BB6133F"/>
    <w:rsid w:val="1C072701"/>
    <w:rsid w:val="1C9E5B9E"/>
    <w:rsid w:val="1D680EB6"/>
    <w:rsid w:val="1FBA6F24"/>
    <w:rsid w:val="22384D53"/>
    <w:rsid w:val="22517D7C"/>
    <w:rsid w:val="226D7D7D"/>
    <w:rsid w:val="2298251A"/>
    <w:rsid w:val="22C11C23"/>
    <w:rsid w:val="233A5067"/>
    <w:rsid w:val="234E5EC7"/>
    <w:rsid w:val="24776664"/>
    <w:rsid w:val="248E73BE"/>
    <w:rsid w:val="24987261"/>
    <w:rsid w:val="24D9609E"/>
    <w:rsid w:val="25D02FFD"/>
    <w:rsid w:val="26093577"/>
    <w:rsid w:val="26304DF2"/>
    <w:rsid w:val="2AB47519"/>
    <w:rsid w:val="2BF23E07"/>
    <w:rsid w:val="2D191A38"/>
    <w:rsid w:val="2D6F0EEB"/>
    <w:rsid w:val="2DDD3AA0"/>
    <w:rsid w:val="2E1E1BDD"/>
    <w:rsid w:val="31CC2356"/>
    <w:rsid w:val="322A73F0"/>
    <w:rsid w:val="33157E5C"/>
    <w:rsid w:val="3338022F"/>
    <w:rsid w:val="341804E9"/>
    <w:rsid w:val="342866FA"/>
    <w:rsid w:val="34630033"/>
    <w:rsid w:val="35653FF3"/>
    <w:rsid w:val="36971AF6"/>
    <w:rsid w:val="3860038E"/>
    <w:rsid w:val="3A583804"/>
    <w:rsid w:val="3CE619FC"/>
    <w:rsid w:val="3DA7382A"/>
    <w:rsid w:val="3E47743A"/>
    <w:rsid w:val="3EA43358"/>
    <w:rsid w:val="3F3B4CE0"/>
    <w:rsid w:val="3F810EBB"/>
    <w:rsid w:val="3FBB1912"/>
    <w:rsid w:val="401B60BB"/>
    <w:rsid w:val="40835A4C"/>
    <w:rsid w:val="419C3085"/>
    <w:rsid w:val="420B2CFA"/>
    <w:rsid w:val="42461EC8"/>
    <w:rsid w:val="42521512"/>
    <w:rsid w:val="43EB4803"/>
    <w:rsid w:val="44767BDF"/>
    <w:rsid w:val="4565724F"/>
    <w:rsid w:val="45EF7E5F"/>
    <w:rsid w:val="461375FF"/>
    <w:rsid w:val="463C09B7"/>
    <w:rsid w:val="47FB3B1C"/>
    <w:rsid w:val="485A5411"/>
    <w:rsid w:val="48883EE8"/>
    <w:rsid w:val="49FA1891"/>
    <w:rsid w:val="4ACA42E6"/>
    <w:rsid w:val="4BC26F8A"/>
    <w:rsid w:val="4BE7296C"/>
    <w:rsid w:val="4CE530C1"/>
    <w:rsid w:val="4D2C59B0"/>
    <w:rsid w:val="4D8465BE"/>
    <w:rsid w:val="4FDD2324"/>
    <w:rsid w:val="50BE2D36"/>
    <w:rsid w:val="51413A5A"/>
    <w:rsid w:val="52770509"/>
    <w:rsid w:val="5354071A"/>
    <w:rsid w:val="53EA44B8"/>
    <w:rsid w:val="54281DF4"/>
    <w:rsid w:val="56521A04"/>
    <w:rsid w:val="56D5346F"/>
    <w:rsid w:val="576B48E9"/>
    <w:rsid w:val="577B43F7"/>
    <w:rsid w:val="57F5658A"/>
    <w:rsid w:val="58900FC0"/>
    <w:rsid w:val="58DC7930"/>
    <w:rsid w:val="59353EEB"/>
    <w:rsid w:val="59BD701B"/>
    <w:rsid w:val="5C8B4E57"/>
    <w:rsid w:val="5F994A93"/>
    <w:rsid w:val="60CA77DA"/>
    <w:rsid w:val="60FD3896"/>
    <w:rsid w:val="62A712E9"/>
    <w:rsid w:val="636C452A"/>
    <w:rsid w:val="64564E9C"/>
    <w:rsid w:val="64DD2A65"/>
    <w:rsid w:val="66D73F68"/>
    <w:rsid w:val="677A2BE4"/>
    <w:rsid w:val="68394457"/>
    <w:rsid w:val="690A2603"/>
    <w:rsid w:val="6A62589E"/>
    <w:rsid w:val="6CC058EA"/>
    <w:rsid w:val="6D05726A"/>
    <w:rsid w:val="6EA36ACE"/>
    <w:rsid w:val="6F422098"/>
    <w:rsid w:val="6F8F4715"/>
    <w:rsid w:val="7062076F"/>
    <w:rsid w:val="711372C6"/>
    <w:rsid w:val="7289545F"/>
    <w:rsid w:val="72F16021"/>
    <w:rsid w:val="73EE4C3F"/>
    <w:rsid w:val="75107A43"/>
    <w:rsid w:val="770F7286"/>
    <w:rsid w:val="778060F2"/>
    <w:rsid w:val="79412CA3"/>
    <w:rsid w:val="79B81021"/>
    <w:rsid w:val="7A327907"/>
    <w:rsid w:val="7A5D10B6"/>
    <w:rsid w:val="7A775129"/>
    <w:rsid w:val="7AD978EB"/>
    <w:rsid w:val="7B8E01BE"/>
    <w:rsid w:val="7C68679D"/>
    <w:rsid w:val="7CC976C2"/>
    <w:rsid w:val="7ECE3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qFormat/>
    <w:uiPriority w:val="0"/>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2479</Words>
  <Characters>2770</Characters>
  <Lines>12</Lines>
  <Paragraphs>3</Paragraphs>
  <TotalTime>42</TotalTime>
  <ScaleCrop>false</ScaleCrop>
  <LinksUpToDate>false</LinksUpToDate>
  <CharactersWithSpaces>2928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2021-08-24T03:17:00Z</dcterms:created>
  <dc:creator>AutoBVT</dc:creator>
  <cp:lastModifiedBy>河谷镇</cp:lastModifiedBy>
  <cp:lastPrinted>2022-04-22T09:11:00Z</cp:lastPrinted>
  <dcterms:modified xsi:type="dcterms:W3CDTF">2026-07-10T01:41:04Z</dcterms:modified>
  <dc:title>柳州市柳北区市场监督管理局</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B705DE40BB5D4A8BBD313719AA69D4D1</vt:lpwstr>
  </property>
  <property fmtid="{D5CDD505-2E9C-101B-9397-08002B2CF9AE}" pid="4" name="commondata">
    <vt:lpwstr>eyJoZGlkIjoiNDgyNzkyZjI1NDFlNzk2ZjY4OTViMWUyMTEzNGQ0YTIifQ==</vt:lpwstr>
  </property>
  <property fmtid="{D5CDD505-2E9C-101B-9397-08002B2CF9AE}" pid="5" name="KSOTemplateDocerSaveRecord">
    <vt:lpwstr>eyJoZGlkIjoiNjljYzBiNmJkNjNmYjA3MDkwNzQ4ZTM5NDc1MTY5NDgiLCJ1c2VySWQiOiI0OTg3NTAzNTcifQ==</vt:lpwstr>
  </property>
</Properties>
</file>