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1BB52">
      <w:pPr>
        <w:keepNext w:val="0"/>
        <w:keepLines w:val="0"/>
        <w:pageBreakBefore w:val="0"/>
        <w:numPr>
          <w:ilvl w:val="0"/>
          <w:numId w:val="2"/>
        </w:numPr>
        <w:kinsoku/>
        <w:wordWrap/>
        <w:overflowPunct/>
        <w:topLinePunct w:val="0"/>
        <w:bidi w:val="0"/>
        <w:spacing w:line="4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eastAsia" w:ascii="方正小标宋简体" w:hAnsi="方正小标宋简体" w:eastAsia="方正小标宋简体" w:cs="方正小标宋简体"/>
          <w:color w:val="auto"/>
          <w:sz w:val="44"/>
          <w:szCs w:val="44"/>
          <w:u w:val="none"/>
          <w:lang w:eastAsia="zh-CN"/>
        </w:rPr>
        <w:t>柳州市</w:t>
      </w:r>
      <w:r>
        <w:rPr>
          <w:rFonts w:hint="eastAsia" w:ascii="方正小标宋简体" w:hAnsi="方正小标宋简体" w:eastAsia="方正小标宋简体" w:cs="方正小标宋简体"/>
          <w:color w:val="auto"/>
          <w:sz w:val="44"/>
          <w:szCs w:val="44"/>
          <w:u w:val="none"/>
        </w:rPr>
        <w:t>柳北区市场监督管理局</w:t>
      </w:r>
      <w:bookmarkEnd w:id="0"/>
    </w:p>
    <w:p w14:paraId="5A99BE40">
      <w:pPr>
        <w:pStyle w:val="3"/>
        <w:keepNext w:val="0"/>
        <w:keepLines w:val="0"/>
        <w:pageBreakBefore w:val="0"/>
        <w:numPr>
          <w:ilvl w:val="0"/>
          <w:numId w:val="2"/>
        </w:numPr>
        <w:kinsoku/>
        <w:wordWrap/>
        <w:overflowPunct/>
        <w:topLinePunct w:val="0"/>
        <w:bidi w:val="0"/>
        <w:spacing w:before="0" w:after="0" w:line="440" w:lineRule="exact"/>
        <w:jc w:val="center"/>
        <w:rPr>
          <w:rFonts w:hint="eastAsia" w:ascii="方正小标宋简体" w:hAnsi="方正小标宋简体" w:eastAsia="方正小标宋简体" w:cs="方正小标宋简体"/>
          <w:color w:val="auto"/>
          <w:sz w:val="44"/>
          <w:szCs w:val="44"/>
          <w:u w:val="none"/>
        </w:rPr>
      </w:pPr>
      <w:bookmarkStart w:id="1" w:name="_Toc76683344"/>
      <w:r>
        <w:rPr>
          <w:rFonts w:hint="eastAsia" w:ascii="方正小标宋简体" w:hAnsi="方正小标宋简体" w:eastAsia="方正小标宋简体" w:cs="方正小标宋简体"/>
          <w:color w:val="auto"/>
          <w:sz w:val="44"/>
          <w:szCs w:val="44"/>
          <w:u w:val="none"/>
          <w:lang w:val="en-US"/>
        </w:rPr>
        <w:t>行政处罚</w:t>
      </w:r>
      <w:r>
        <w:rPr>
          <w:rFonts w:hint="eastAsia" w:ascii="方正小标宋简体" w:hAnsi="方正小标宋简体" w:eastAsia="方正小标宋简体" w:cs="方正小标宋简体"/>
          <w:color w:val="auto"/>
          <w:sz w:val="44"/>
          <w:szCs w:val="44"/>
          <w:u w:val="none"/>
          <w:lang w:val="en-US" w:eastAsia="zh-Hans"/>
        </w:rPr>
        <w:t>决定</w:t>
      </w:r>
      <w:r>
        <w:rPr>
          <w:rFonts w:hint="eastAsia" w:ascii="方正小标宋简体" w:hAnsi="方正小标宋简体" w:eastAsia="方正小标宋简体" w:cs="方正小标宋简体"/>
          <w:color w:val="auto"/>
          <w:sz w:val="44"/>
          <w:szCs w:val="44"/>
          <w:u w:val="none"/>
          <w:lang w:val="en-US"/>
        </w:rPr>
        <w:t>书</w:t>
      </w:r>
      <w:bookmarkEnd w:id="1"/>
      <w:bookmarkStart w:id="2" w:name="tAj_wh"/>
    </w:p>
    <w:p w14:paraId="4823A8EA">
      <w:pPr>
        <w:keepNext w:val="0"/>
        <w:keepLines w:val="0"/>
        <w:pageBreakBefore w:val="0"/>
        <w:widowControl/>
        <w:kinsoku/>
        <w:wordWrap/>
        <w:overflowPunct/>
        <w:topLinePunct w:val="0"/>
        <w:autoSpaceDE/>
        <w:autoSpaceDN/>
        <w:bidi w:val="0"/>
        <w:snapToGrid w:val="0"/>
        <w:spacing w:line="440" w:lineRule="exact"/>
        <w:ind w:right="55"/>
        <w:jc w:val="center"/>
        <w:outlineLvl w:val="1"/>
        <w:rPr>
          <w:rFonts w:hint="eastAsia" w:ascii="Times New Roman" w:hAnsi="仿宋_GB2312" w:eastAsia="仿宋_GB2312" w:cs="仿宋_GB2312"/>
          <w:bCs/>
          <w:color w:val="auto"/>
          <w:sz w:val="32"/>
          <w:szCs w:val="32"/>
        </w:rPr>
      </w:pPr>
      <w:r>
        <w:rPr>
          <w:rFonts w:hint="eastAsia" w:ascii="Times New Roman" w:hAnsi="Times New Roman" w:eastAsia="仿宋_GB2312" w:cs="Mongolian Baiti"/>
          <w:color w:val="auto"/>
          <w:sz w:val="32"/>
          <w:u w:val="none"/>
        </w:rPr>
        <w:t>柳北市监处罚〔202</w:t>
      </w:r>
      <w:r>
        <w:rPr>
          <w:rFonts w:hint="eastAsia" w:ascii="Times New Roman" w:hAnsi="Times New Roman" w:eastAsia="仿宋_GB2312" w:cs="Mongolian Baiti"/>
          <w:color w:val="auto"/>
          <w:sz w:val="32"/>
          <w:u w:val="none"/>
          <w:lang w:val="en-US" w:eastAsia="zh-CN"/>
        </w:rPr>
        <w:t>6</w:t>
      </w:r>
      <w:r>
        <w:rPr>
          <w:rFonts w:hint="eastAsia" w:ascii="Times New Roman" w:hAnsi="Times New Roman" w:eastAsia="仿宋_GB2312" w:cs="Mongolian Baiti"/>
          <w:color w:val="auto"/>
          <w:sz w:val="32"/>
          <w:u w:val="none"/>
        </w:rPr>
        <w:t>〕</w:t>
      </w:r>
      <w:r>
        <w:rPr>
          <w:rFonts w:hint="eastAsia" w:ascii="Times New Roman" w:hAnsi="Times New Roman" w:eastAsia="仿宋_GB2312" w:cs="Mongolian Baiti"/>
          <w:color w:val="auto"/>
          <w:sz w:val="32"/>
          <w:u w:val="none"/>
          <w:lang w:val="en-US" w:eastAsia="zh-CN"/>
        </w:rPr>
        <w:t>H070701</w:t>
      </w:r>
      <w:bookmarkStart w:id="8" w:name="_GoBack"/>
      <w:bookmarkEnd w:id="8"/>
      <w:r>
        <w:rPr>
          <w:rFonts w:hint="eastAsia" w:ascii="Times New Roman" w:hAnsi="Times New Roman" w:eastAsia="仿宋_GB2312" w:cs="Mongolian Baiti"/>
          <w:color w:val="auto"/>
          <w:sz w:val="32"/>
          <w:u w:val="none"/>
          <w:lang w:val="en-US" w:eastAsia="zh-CN"/>
        </w:rPr>
        <w:t xml:space="preserve"> </w:t>
      </w:r>
      <w:r>
        <w:rPr>
          <w:rFonts w:hint="eastAsia" w:ascii="Times New Roman" w:hAnsi="Times New Roman" w:eastAsia="仿宋_GB2312" w:cs="Mongolian Baiti"/>
          <w:color w:val="auto"/>
          <w:sz w:val="32"/>
          <w:u w:val="none"/>
        </w:rPr>
        <w:t>号</w:t>
      </w:r>
      <w:bookmarkEnd w:id="2"/>
    </w:p>
    <w:p w14:paraId="381D88D7">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eastAsia" w:ascii="Times New Roman" w:hAnsi="Times New Roman" w:eastAsia="仿宋_GB2312" w:cs="Mongolian Baiti"/>
          <w:b w:val="0"/>
          <w:color w:val="auto"/>
          <w:sz w:val="32"/>
          <w:u w:val="none"/>
          <w:lang w:eastAsia="zh-CN"/>
        </w:rPr>
      </w:pPr>
      <w:bookmarkStart w:id="3" w:name="CALCULATE—TIME—NOW"/>
    </w:p>
    <w:p w14:paraId="20FA7256">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eastAsia"/>
          <w:color w:val="auto"/>
          <w:lang w:val="en-US" w:eastAsia="zh-CN"/>
        </w:rPr>
      </w:pPr>
      <w:r>
        <w:rPr>
          <w:rFonts w:hint="eastAsia" w:ascii="Times New Roman" w:hAnsi="Times New Roman" w:eastAsia="仿宋_GB2312" w:cs="Mongolian Baiti"/>
          <w:b w:val="0"/>
          <w:color w:val="auto"/>
          <w:sz w:val="32"/>
          <w:u w:val="none"/>
          <w:lang w:eastAsia="zh-CN"/>
        </w:rPr>
        <w:t>当事人：</w:t>
      </w:r>
      <w:r>
        <w:rPr>
          <w:rFonts w:hint="eastAsia" w:ascii="仿宋_GB2312" w:hAnsi="仿宋_GB2312" w:eastAsia="仿宋_GB2312" w:cs="仿宋_GB2312"/>
          <w:bCs/>
          <w:color w:val="auto"/>
          <w:sz w:val="32"/>
          <w:szCs w:val="32"/>
          <w:lang w:val="en-US" w:eastAsia="zh-CN"/>
        </w:rPr>
        <w:t>柳州市天之仁茶轩</w:t>
      </w:r>
    </w:p>
    <w:p w14:paraId="4B6699AE">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eastAsia" w:ascii="Times New Roman" w:hAnsi="Times New Roman" w:eastAsia="仿宋_GB2312" w:cs="Mongolian Baiti"/>
          <w:b w:val="0"/>
          <w:color w:val="auto"/>
          <w:sz w:val="32"/>
          <w:u w:val="none"/>
          <w:lang w:val="en-US" w:eastAsia="zh-CN"/>
        </w:rPr>
      </w:pPr>
      <w:r>
        <w:rPr>
          <w:rFonts w:hint="eastAsia" w:ascii="Times New Roman" w:hAnsi="Times New Roman" w:eastAsia="仿宋_GB2312" w:cs="Mongolian Baiti"/>
          <w:b w:val="0"/>
          <w:color w:val="auto"/>
          <w:sz w:val="32"/>
          <w:u w:val="none"/>
          <w:lang w:eastAsia="zh-CN"/>
        </w:rPr>
        <w:t>主体资格证照名称：</w:t>
      </w:r>
      <w:r>
        <w:rPr>
          <w:rFonts w:hint="eastAsia" w:ascii="Times New Roman" w:hAnsi="Times New Roman" w:eastAsia="仿宋_GB2312" w:cs="Mongolian Baiti"/>
          <w:b w:val="0"/>
          <w:color w:val="auto"/>
          <w:sz w:val="32"/>
          <w:u w:val="none"/>
          <w:lang w:val="en-US" w:eastAsia="zh-CN"/>
        </w:rPr>
        <w:t>营业执照</w:t>
      </w:r>
    </w:p>
    <w:p w14:paraId="4E3C4D55">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eastAsia" w:ascii="仿宋_GB2312" w:hAnsi="仿宋_GB2312" w:eastAsia="仿宋_GB2312" w:cs="仿宋_GB2312"/>
          <w:bCs/>
          <w:color w:val="auto"/>
          <w:kern w:val="2"/>
          <w:sz w:val="32"/>
          <w:szCs w:val="32"/>
          <w:lang w:val="en-US" w:eastAsia="zh-CN" w:bidi="ar-SA"/>
        </w:rPr>
      </w:pPr>
      <w:r>
        <w:rPr>
          <w:rFonts w:hint="eastAsia" w:ascii="Times New Roman" w:hAnsi="Times New Roman" w:eastAsia="仿宋_GB2312" w:cs="Mongolian Baiti"/>
          <w:b w:val="0"/>
          <w:color w:val="auto"/>
          <w:sz w:val="32"/>
          <w:u w:val="none"/>
          <w:lang w:val="en-US" w:eastAsia="zh-CN"/>
        </w:rPr>
        <w:t>统一社会信用代码：</w:t>
      </w:r>
      <w:r>
        <w:rPr>
          <w:rFonts w:hint="eastAsia" w:ascii="仿宋_GB2312" w:hAnsi="仿宋_GB2312" w:eastAsia="仿宋_GB2312" w:cs="仿宋_GB2312"/>
          <w:bCs/>
          <w:color w:val="auto"/>
          <w:kern w:val="2"/>
          <w:sz w:val="32"/>
          <w:szCs w:val="32"/>
          <w:lang w:val="en-US" w:eastAsia="zh-CN" w:bidi="ar-SA"/>
        </w:rPr>
        <w:t>91450205MA5N7YPY5G</w:t>
      </w:r>
    </w:p>
    <w:p w14:paraId="193AF484">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eastAsia" w:ascii="Times New Roman" w:hAnsi="Times New Roman" w:eastAsia="仿宋_GB2312" w:cs="Mongolian Baiti"/>
          <w:b w:val="0"/>
          <w:color w:val="auto"/>
          <w:sz w:val="32"/>
          <w:u w:val="none"/>
          <w:lang w:val="en-US" w:eastAsia="zh-CN"/>
        </w:rPr>
      </w:pPr>
      <w:r>
        <w:rPr>
          <w:rFonts w:hint="eastAsia" w:ascii="Times New Roman" w:hAnsi="Times New Roman" w:eastAsia="仿宋_GB2312" w:cs="Mongolian Baiti"/>
          <w:b w:val="0"/>
          <w:color w:val="auto"/>
          <w:sz w:val="32"/>
          <w:u w:val="none"/>
          <w:lang w:val="en-US" w:eastAsia="zh-CN"/>
        </w:rPr>
        <w:t>住所：</w:t>
      </w:r>
      <w:r>
        <w:rPr>
          <w:rFonts w:hint="eastAsia" w:ascii="仿宋_GB2312" w:hAnsi="仿宋_GB2312" w:eastAsia="仿宋_GB2312" w:cs="仿宋_GB2312"/>
          <w:bCs/>
          <w:color w:val="auto"/>
          <w:sz w:val="32"/>
          <w:szCs w:val="32"/>
          <w:lang w:val="en-US" w:eastAsia="zh-CN"/>
        </w:rPr>
        <w:t>柳州市友谊路1号8号楼一楼西侧</w:t>
      </w:r>
    </w:p>
    <w:p w14:paraId="4D0979C8">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eastAsia" w:ascii="Times New Roman" w:hAnsi="Times New Roman" w:eastAsia="仿宋_GB2312" w:cs="Mongolian Baiti"/>
          <w:b w:val="0"/>
          <w:color w:val="auto"/>
          <w:sz w:val="32"/>
          <w:u w:val="none"/>
          <w:lang w:val="en-US" w:eastAsia="zh-CN"/>
        </w:rPr>
      </w:pPr>
      <w:r>
        <w:rPr>
          <w:rFonts w:hint="eastAsia" w:ascii="仿宋_GB2312" w:hAnsi="仿宋_GB2312" w:eastAsia="仿宋_GB2312" w:cs="仿宋_GB2312"/>
          <w:color w:val="auto"/>
          <w:sz w:val="32"/>
          <w:szCs w:val="32"/>
          <w:lang w:val="en-US" w:eastAsia="zh-CN"/>
        </w:rPr>
        <w:t>投资人：</w:t>
      </w:r>
      <w:r>
        <w:rPr>
          <w:rFonts w:hint="eastAsia" w:ascii="仿宋_GB2312" w:hAnsi="仿宋_GB2312" w:eastAsia="仿宋_GB2312" w:cs="仿宋_GB2312"/>
          <w:bCs/>
          <w:color w:val="auto"/>
          <w:sz w:val="32"/>
          <w:szCs w:val="32"/>
          <w:lang w:val="en-US" w:eastAsia="zh-CN"/>
        </w:rPr>
        <w:t>朱莉英</w:t>
      </w:r>
    </w:p>
    <w:p w14:paraId="31C879C9">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default" w:ascii="仿宋_GB2312" w:hAnsi="仿宋_GB2312" w:eastAsia="仿宋_GB2312" w:cs="仿宋_GB2312"/>
          <w:bCs/>
          <w:color w:val="auto"/>
          <w:kern w:val="2"/>
          <w:sz w:val="32"/>
          <w:szCs w:val="32"/>
          <w:lang w:val="en-US" w:eastAsia="zh-CN" w:bidi="ar-SA"/>
        </w:rPr>
      </w:pPr>
      <w:r>
        <w:rPr>
          <w:rFonts w:hint="eastAsia" w:ascii="Times New Roman" w:hAnsi="Times New Roman" w:eastAsia="仿宋_GB2312" w:cs="Mongolian Baiti"/>
          <w:b w:val="0"/>
          <w:color w:val="auto"/>
          <w:sz w:val="32"/>
          <w:u w:val="none"/>
          <w:lang w:eastAsia="zh-CN"/>
        </w:rPr>
        <w:t>身份证</w:t>
      </w:r>
      <w:r>
        <w:rPr>
          <w:rFonts w:hint="eastAsia" w:ascii="Times New Roman" w:hAnsi="Times New Roman" w:eastAsia="仿宋_GB2312" w:cs="Mongolian Baiti"/>
          <w:b w:val="0"/>
          <w:color w:val="auto"/>
          <w:sz w:val="32"/>
          <w:u w:val="none"/>
          <w:lang w:val="en-US" w:eastAsia="zh-CN"/>
        </w:rPr>
        <w:t>件</w:t>
      </w:r>
      <w:r>
        <w:rPr>
          <w:rFonts w:hint="eastAsia" w:ascii="Times New Roman" w:hAnsi="Times New Roman" w:eastAsia="仿宋_GB2312" w:cs="Mongolian Baiti"/>
          <w:b w:val="0"/>
          <w:color w:val="auto"/>
          <w:sz w:val="32"/>
          <w:u w:val="none"/>
          <w:lang w:eastAsia="zh-CN"/>
        </w:rPr>
        <w:t>号码：</w:t>
      </w:r>
      <w:r>
        <w:rPr>
          <w:rFonts w:hint="eastAsia" w:ascii="仿宋_GB2312" w:hAnsi="仿宋_GB2312" w:eastAsia="仿宋_GB2312" w:cs="仿宋_GB2312"/>
          <w:bCs/>
          <w:color w:val="auto"/>
          <w:kern w:val="2"/>
          <w:sz w:val="32"/>
          <w:szCs w:val="32"/>
          <w:lang w:val="en-US" w:eastAsia="zh-CN" w:bidi="ar-SA"/>
        </w:rPr>
        <w:t>*</w:t>
      </w:r>
    </w:p>
    <w:p w14:paraId="5A69AEA3">
      <w:pPr>
        <w:pStyle w:val="2"/>
        <w:rPr>
          <w:rFonts w:hint="default"/>
          <w:color w:val="auto"/>
          <w:lang w:val="en-US" w:eastAsia="zh-CN"/>
        </w:rPr>
      </w:pPr>
    </w:p>
    <w:p w14:paraId="7AB87BF5">
      <w:pPr>
        <w:pStyle w:val="2"/>
        <w:keepNext w:val="0"/>
        <w:keepLines w:val="0"/>
        <w:pageBreakBefore w:val="0"/>
        <w:widowControl w:val="0"/>
        <w:kinsoku/>
        <w:wordWrap/>
        <w:overflowPunct/>
        <w:topLinePunct w:val="0"/>
        <w:bidi w:val="0"/>
        <w:snapToGrid/>
        <w:spacing w:line="440" w:lineRule="exact"/>
        <w:ind w:firstLine="640" w:firstLineChars="200"/>
        <w:textAlignment w:val="auto"/>
        <w:rPr>
          <w:rFonts w:hint="eastAsia" w:hAnsi="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2025年7月17日我局收到举报人现场举报，其于2025年7月16日在</w:t>
      </w:r>
      <w:r>
        <w:rPr>
          <w:rFonts w:hint="eastAsia" w:hAnsi="仿宋_GB2312" w:cs="仿宋_GB2312"/>
          <w:bCs/>
          <w:color w:val="auto"/>
          <w:kern w:val="2"/>
          <w:sz w:val="32"/>
          <w:szCs w:val="32"/>
          <w:lang w:val="en-US" w:eastAsia="zh-CN" w:bidi="ar-SA"/>
        </w:rPr>
        <w:t>当事人处</w:t>
      </w:r>
      <w:r>
        <w:rPr>
          <w:rFonts w:hint="eastAsia" w:ascii="仿宋_GB2312" w:hAnsi="仿宋_GB2312" w:eastAsia="仿宋_GB2312" w:cs="仿宋_GB2312"/>
          <w:bCs/>
          <w:color w:val="auto"/>
          <w:kern w:val="2"/>
          <w:sz w:val="32"/>
          <w:szCs w:val="32"/>
          <w:lang w:val="en-US" w:eastAsia="zh-CN" w:bidi="ar-SA"/>
        </w:rPr>
        <w:t>花费</w:t>
      </w:r>
      <w:r>
        <w:rPr>
          <w:rFonts w:hint="eastAsia" w:hAnsi="仿宋_GB2312" w:cs="仿宋_GB2312"/>
          <w:bCs/>
          <w:color w:val="auto"/>
          <w:kern w:val="2"/>
          <w:sz w:val="32"/>
          <w:szCs w:val="32"/>
          <w:lang w:val="en-US" w:eastAsia="zh-CN" w:bidi="ar-SA"/>
        </w:rPr>
        <w:t>1600</w:t>
      </w:r>
      <w:r>
        <w:rPr>
          <w:rFonts w:hint="eastAsia" w:ascii="仿宋_GB2312" w:hAnsi="仿宋_GB2312" w:eastAsia="仿宋_GB2312" w:cs="仿宋_GB2312"/>
          <w:bCs/>
          <w:color w:val="auto"/>
          <w:kern w:val="2"/>
          <w:sz w:val="32"/>
          <w:szCs w:val="32"/>
          <w:lang w:val="en-US" w:eastAsia="zh-CN" w:bidi="ar-SA"/>
        </w:rPr>
        <w:t>元购买了</w:t>
      </w:r>
      <w:r>
        <w:rPr>
          <w:rFonts w:hint="eastAsia" w:hAnsi="仿宋_GB2312" w:cs="仿宋_GB2312"/>
          <w:bCs/>
          <w:color w:val="auto"/>
          <w:kern w:val="2"/>
          <w:sz w:val="32"/>
          <w:szCs w:val="32"/>
          <w:lang w:val="en-US" w:eastAsia="zh-CN" w:bidi="ar-SA"/>
        </w:rPr>
        <w:t>霍山米斛酒一盒（内有2瓶酒，每瓶酒瓶身仅标识500ML，私人订制，无任何其他标签标识）、六堡茶</w:t>
      </w:r>
      <w:r>
        <w:rPr>
          <w:rFonts w:hint="eastAsia" w:hAnsi="仿宋_GB2312" w:cs="仿宋_GB2312"/>
          <w:bCs/>
          <w:strike w:val="0"/>
          <w:dstrike w:val="0"/>
          <w:color w:val="auto"/>
          <w:kern w:val="2"/>
          <w:sz w:val="32"/>
          <w:szCs w:val="32"/>
          <w:lang w:val="en-US" w:eastAsia="zh-CN" w:bidi="ar-SA"/>
        </w:rPr>
        <w:t>两</w:t>
      </w:r>
      <w:r>
        <w:rPr>
          <w:rFonts w:hint="eastAsia" w:hAnsi="仿宋_GB2312" w:cs="仿宋_GB2312"/>
          <w:bCs/>
          <w:color w:val="auto"/>
          <w:kern w:val="2"/>
          <w:sz w:val="32"/>
          <w:szCs w:val="32"/>
          <w:lang w:val="en-US" w:eastAsia="zh-CN" w:bidi="ar-SA"/>
        </w:rPr>
        <w:t>袋，上述产品无产品信息、生产日期、保质期、批号及厂家信息。当日我局对当事人进行现场检查，当事人无法提供上述两款食品的进货票据及进销记录，当事人的上述行为涉嫌违反《中华人民共和国食品安全法》</w:t>
      </w:r>
      <w:r>
        <w:rPr>
          <w:rFonts w:hint="eastAsia" w:ascii="仿宋_GB2312" w:hAnsi="仿宋_GB2312" w:eastAsia="仿宋_GB2312" w:cs="仿宋_GB2312"/>
          <w:bCs/>
          <w:color w:val="auto"/>
          <w:sz w:val="32"/>
          <w:szCs w:val="32"/>
          <w:lang w:val="en-US" w:eastAsia="zh-CN"/>
        </w:rPr>
        <w:t>第六十七条第一款</w:t>
      </w:r>
      <w:r>
        <w:rPr>
          <w:rFonts w:hint="eastAsia" w:hAnsi="仿宋_GB2312" w:cs="仿宋_GB2312"/>
          <w:bCs/>
          <w:color w:val="auto"/>
          <w:kern w:val="2"/>
          <w:sz w:val="32"/>
          <w:szCs w:val="32"/>
          <w:lang w:val="en-US" w:eastAsia="zh-CN" w:bidi="ar-SA"/>
        </w:rPr>
        <w:t>的规定，我局于2025年8月7日对当事人涉嫌经营标签不符合规定的预包装食品进行立案调查。</w:t>
      </w:r>
    </w:p>
    <w:p w14:paraId="015CD636">
      <w:pPr>
        <w:pStyle w:val="2"/>
        <w:keepNext w:val="0"/>
        <w:keepLines w:val="0"/>
        <w:pageBreakBefore w:val="0"/>
        <w:widowControl w:val="0"/>
        <w:kinsoku/>
        <w:wordWrap/>
        <w:overflowPunct/>
        <w:topLinePunct w:val="0"/>
        <w:bidi w:val="0"/>
        <w:snapToGrid/>
        <w:spacing w:line="440" w:lineRule="exact"/>
        <w:ind w:firstLine="640"/>
        <w:textAlignment w:val="auto"/>
        <w:rPr>
          <w:rFonts w:hint="default" w:hAnsi="仿宋_GB2312" w:cs="仿宋_GB2312"/>
          <w:color w:val="auto"/>
          <w:sz w:val="32"/>
          <w:szCs w:val="32"/>
          <w:u w:val="none"/>
          <w:lang w:val="en-US" w:eastAsia="zh-CN"/>
        </w:rPr>
      </w:pPr>
      <w:bookmarkStart w:id="4" w:name="OLE_LINK8"/>
      <w:r>
        <w:rPr>
          <w:rFonts w:hint="eastAsia" w:hAnsi="仿宋_GB2312" w:cs="仿宋_GB2312"/>
          <w:bCs/>
          <w:color w:val="auto"/>
          <w:kern w:val="2"/>
          <w:sz w:val="32"/>
          <w:szCs w:val="32"/>
          <w:lang w:val="en-US" w:eastAsia="zh-CN" w:bidi="ar-SA"/>
        </w:rPr>
        <w:t>经查实，当事人</w:t>
      </w:r>
      <w:bookmarkEnd w:id="4"/>
      <w:r>
        <w:rPr>
          <w:rFonts w:hint="eastAsia" w:hAnsi="仿宋_GB2312" w:cs="仿宋_GB2312"/>
          <w:bCs/>
          <w:color w:val="auto"/>
          <w:kern w:val="2"/>
          <w:sz w:val="32"/>
          <w:szCs w:val="32"/>
          <w:lang w:val="en-US" w:eastAsia="zh-CN" w:bidi="ar-SA"/>
        </w:rPr>
        <w:t>受赠获得2瓶霍山米斛酒，该霍山米斛酒为密封包装，每瓶均为500ML，瓶身和外包装仅标有</w:t>
      </w:r>
      <w:r>
        <w:rPr>
          <w:rFonts w:hint="eastAsia" w:hAnsi="仿宋_GB2312" w:cs="仿宋_GB2312"/>
          <w:bCs/>
          <w:color w:val="auto"/>
          <w:kern w:val="2"/>
          <w:sz w:val="32"/>
          <w:szCs w:val="32"/>
          <w:u w:val="none"/>
          <w:lang w:val="en-US" w:eastAsia="zh-CN" w:bidi="ar-SA"/>
        </w:rPr>
        <w:t>“</w:t>
      </w:r>
      <w:r>
        <w:rPr>
          <w:rFonts w:hint="eastAsia" w:ascii="仿宋_GB2312" w:hAnsi="仿宋_GB2312" w:eastAsia="仿宋_GB2312" w:cs="仿宋_GB2312"/>
          <w:color w:val="auto"/>
          <w:sz w:val="32"/>
          <w:szCs w:val="32"/>
          <w:u w:val="none"/>
          <w:lang w:val="en-US" w:eastAsia="zh-CN"/>
        </w:rPr>
        <w:t>500ml  私人订制 霍山米斛酒”</w:t>
      </w:r>
      <w:r>
        <w:rPr>
          <w:rFonts w:hint="eastAsia" w:hAnsi="仿宋_GB2312" w:cs="仿宋_GB2312"/>
          <w:color w:val="auto"/>
          <w:sz w:val="32"/>
          <w:szCs w:val="32"/>
          <w:u w:val="none"/>
          <w:lang w:val="en-US" w:eastAsia="zh-CN"/>
        </w:rPr>
        <w:t>，除此以外无其他任何内容及其他标签标识，</w:t>
      </w:r>
      <w:r>
        <w:rPr>
          <w:rFonts w:hint="eastAsia" w:hAnsi="仿宋_GB2312" w:cs="仿宋_GB2312"/>
          <w:bCs/>
          <w:color w:val="auto"/>
          <w:kern w:val="2"/>
          <w:sz w:val="32"/>
          <w:szCs w:val="32"/>
          <w:lang w:val="en-US" w:eastAsia="zh-CN" w:bidi="ar-SA"/>
        </w:rPr>
        <w:t>销售价500元/瓶，售出2瓶；当事人受赠获得2袋广西六堡茶，该广西六堡茶为密封包装，每袋重量相同，</w:t>
      </w:r>
      <w:r>
        <w:rPr>
          <w:rFonts w:hint="eastAsia" w:ascii="仿宋_GB2312" w:hAnsi="仿宋_GB2312" w:eastAsia="仿宋_GB2312" w:cs="仿宋_GB2312"/>
          <w:color w:val="auto"/>
          <w:sz w:val="32"/>
          <w:szCs w:val="32"/>
          <w:u w:val="none"/>
          <w:lang w:val="en-US" w:eastAsia="zh-CN"/>
        </w:rPr>
        <w:t>外包装只标有“广西六堡茶”</w:t>
      </w:r>
      <w:r>
        <w:rPr>
          <w:rFonts w:hint="eastAsia" w:hAnsi="仿宋_GB2312" w:cs="仿宋_GB2312"/>
          <w:color w:val="auto"/>
          <w:sz w:val="32"/>
          <w:szCs w:val="32"/>
          <w:u w:val="none"/>
          <w:lang w:val="en-US" w:eastAsia="zh-CN"/>
        </w:rPr>
        <w:t>没有其他内容，也没有任何其他标签标识，</w:t>
      </w:r>
      <w:r>
        <w:rPr>
          <w:rFonts w:hint="eastAsia" w:hAnsi="仿宋_GB2312" w:cs="仿宋_GB2312"/>
          <w:bCs/>
          <w:color w:val="auto"/>
          <w:kern w:val="2"/>
          <w:sz w:val="32"/>
          <w:szCs w:val="32"/>
          <w:lang w:val="en-US" w:eastAsia="zh-CN" w:bidi="ar-SA"/>
        </w:rPr>
        <w:t>销售价300元/袋，</w:t>
      </w:r>
      <w:r>
        <w:rPr>
          <w:rFonts w:hint="eastAsia" w:hAnsi="仿宋_GB2312" w:cs="仿宋_GB2312"/>
          <w:color w:val="auto"/>
          <w:sz w:val="32"/>
          <w:szCs w:val="32"/>
          <w:u w:val="none"/>
          <w:lang w:val="en-US" w:eastAsia="zh-CN"/>
        </w:rPr>
        <w:t>售出2袋。上述食品的货值金额1600元，所获利润为1600元。</w:t>
      </w:r>
    </w:p>
    <w:p w14:paraId="0487FF75">
      <w:pPr>
        <w:pStyle w:val="2"/>
        <w:keepNext w:val="0"/>
        <w:keepLines w:val="0"/>
        <w:pageBreakBefore w:val="0"/>
        <w:widowControl w:val="0"/>
        <w:kinsoku/>
        <w:wordWrap/>
        <w:overflowPunct/>
        <w:topLinePunct w:val="0"/>
        <w:bidi w:val="0"/>
        <w:snapToGrid/>
        <w:spacing w:line="440" w:lineRule="exact"/>
        <w:ind w:firstLine="640"/>
        <w:textAlignment w:val="auto"/>
        <w:rPr>
          <w:rFonts w:hint="default" w:hAnsi="仿宋_GB2312" w:cs="仿宋_GB2312"/>
          <w:color w:val="auto"/>
          <w:sz w:val="32"/>
          <w:szCs w:val="32"/>
          <w:u w:val="none"/>
          <w:lang w:val="en-US" w:eastAsia="zh-CN"/>
        </w:rPr>
      </w:pPr>
      <w:r>
        <w:rPr>
          <w:rFonts w:hint="eastAsia" w:ascii="仿宋_GB2312" w:hAnsi="仿宋_GB2312" w:eastAsia="仿宋_GB2312" w:cs="仿宋_GB2312"/>
          <w:bCs/>
          <w:color w:val="auto"/>
          <w:kern w:val="2"/>
          <w:sz w:val="32"/>
          <w:szCs w:val="32"/>
          <w:lang w:val="en-US" w:eastAsia="zh-CN" w:bidi="ar-SA"/>
        </w:rPr>
        <w:t>当事人在</w:t>
      </w:r>
      <w:r>
        <w:rPr>
          <w:rFonts w:hint="eastAsia" w:hAnsi="仿宋_GB2312" w:cs="仿宋_GB2312"/>
          <w:bCs/>
          <w:color w:val="auto"/>
          <w:kern w:val="2"/>
          <w:sz w:val="32"/>
          <w:szCs w:val="32"/>
          <w:lang w:val="en-US" w:eastAsia="zh-CN" w:bidi="ar-SA"/>
        </w:rPr>
        <w:t>购进</w:t>
      </w:r>
      <w:r>
        <w:rPr>
          <w:rFonts w:hint="eastAsia" w:ascii="仿宋_GB2312" w:hAnsi="仿宋_GB2312" w:eastAsia="仿宋_GB2312" w:cs="仿宋_GB2312"/>
          <w:bCs/>
          <w:color w:val="auto"/>
          <w:kern w:val="2"/>
          <w:sz w:val="32"/>
          <w:szCs w:val="32"/>
          <w:lang w:val="en-US" w:eastAsia="zh-CN" w:bidi="ar-SA"/>
        </w:rPr>
        <w:t>上述食品时</w:t>
      </w:r>
      <w:r>
        <w:rPr>
          <w:rFonts w:hint="eastAsia" w:hAnsi="仿宋_GB2312" w:cs="仿宋_GB2312"/>
          <w:bCs/>
          <w:color w:val="auto"/>
          <w:kern w:val="2"/>
          <w:sz w:val="32"/>
          <w:szCs w:val="32"/>
          <w:lang w:val="en-US" w:eastAsia="zh-CN" w:bidi="ar-SA"/>
        </w:rPr>
        <w:t>未查验供货商资质及食品合格证明文件。</w:t>
      </w:r>
    </w:p>
    <w:p w14:paraId="47183B99">
      <w:pPr>
        <w:pStyle w:val="2"/>
        <w:keepNext w:val="0"/>
        <w:keepLines w:val="0"/>
        <w:pageBreakBefore w:val="0"/>
        <w:kinsoku/>
        <w:wordWrap/>
        <w:overflowPunct/>
        <w:topLinePunct w:val="0"/>
        <w:bidi w:val="0"/>
        <w:snapToGrid/>
        <w:spacing w:line="440" w:lineRule="exact"/>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u w:val="none"/>
        </w:rPr>
        <w:t>上述事实，主要有以下证据证明：</w:t>
      </w:r>
    </w:p>
    <w:p w14:paraId="1E06043D">
      <w:pPr>
        <w:pStyle w:val="2"/>
        <w:keepNext w:val="0"/>
        <w:keepLines w:val="0"/>
        <w:pageBreakBefore w:val="0"/>
        <w:widowControl w:val="0"/>
        <w:numPr>
          <w:ilvl w:val="0"/>
          <w:numId w:val="0"/>
        </w:numPr>
        <w:kinsoku/>
        <w:wordWrap/>
        <w:overflowPunct/>
        <w:topLinePunct w:val="0"/>
        <w:bidi w:val="0"/>
        <w:snapToGrid/>
        <w:spacing w:line="44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bookmarkStart w:id="5" w:name="OLE_LINK1"/>
      <w:r>
        <w:rPr>
          <w:rFonts w:hint="eastAsia" w:ascii="仿宋_GB2312" w:hAnsi="仿宋_GB2312" w:eastAsia="仿宋_GB2312" w:cs="仿宋_GB2312"/>
          <w:b w:val="0"/>
          <w:bCs w:val="0"/>
          <w:color w:val="auto"/>
          <w:kern w:val="2"/>
          <w:sz w:val="32"/>
          <w:szCs w:val="32"/>
          <w:lang w:val="en-US" w:eastAsia="zh-CN" w:bidi="ar-SA"/>
        </w:rPr>
        <w:t>1.营业执照复印件、朱莉英的身份证复印件，证明当事人</w:t>
      </w:r>
      <w:r>
        <w:rPr>
          <w:rFonts w:hint="eastAsia" w:hAnsi="仿宋_GB2312" w:cs="仿宋_GB2312"/>
          <w:b w:val="0"/>
          <w:bCs w:val="0"/>
          <w:color w:val="auto"/>
          <w:kern w:val="2"/>
          <w:sz w:val="32"/>
          <w:szCs w:val="32"/>
          <w:lang w:val="en-US" w:eastAsia="zh-CN" w:bidi="ar-SA"/>
        </w:rPr>
        <w:t>主体资格和经营者</w:t>
      </w:r>
      <w:r>
        <w:rPr>
          <w:rFonts w:hint="eastAsia" w:ascii="仿宋_GB2312" w:hAnsi="仿宋_GB2312" w:eastAsia="仿宋_GB2312" w:cs="仿宋_GB2312"/>
          <w:b w:val="0"/>
          <w:bCs w:val="0"/>
          <w:color w:val="auto"/>
          <w:kern w:val="2"/>
          <w:sz w:val="32"/>
          <w:szCs w:val="32"/>
          <w:lang w:val="en-US" w:eastAsia="zh-CN" w:bidi="ar-SA"/>
        </w:rPr>
        <w:t>的身份信息。</w:t>
      </w:r>
    </w:p>
    <w:p w14:paraId="4EA186C7">
      <w:pPr>
        <w:pStyle w:val="2"/>
        <w:keepNext w:val="0"/>
        <w:keepLines w:val="0"/>
        <w:pageBreakBefore w:val="0"/>
        <w:widowControl w:val="0"/>
        <w:numPr>
          <w:ilvl w:val="0"/>
          <w:numId w:val="0"/>
        </w:numPr>
        <w:kinsoku/>
        <w:wordWrap/>
        <w:overflowPunct/>
        <w:topLinePunct w:val="0"/>
        <w:bidi w:val="0"/>
        <w:snapToGrid/>
        <w:spacing w:line="440" w:lineRule="exact"/>
        <w:ind w:firstLine="640"/>
        <w:textAlignment w:val="auto"/>
        <w:rPr>
          <w:rFonts w:hint="eastAsia" w:hAnsi="仿宋_GB2312" w:cs="仿宋_GB2312"/>
          <w:bCs/>
          <w:color w:val="auto"/>
          <w:kern w:val="2"/>
          <w:sz w:val="32"/>
          <w:szCs w:val="32"/>
          <w:lang w:val="en-US" w:eastAsia="zh-CN" w:bidi="ar-SA"/>
        </w:rPr>
      </w:pPr>
      <w:r>
        <w:rPr>
          <w:rFonts w:hint="eastAsia" w:hAnsi="仿宋_GB2312" w:cs="仿宋_GB2312"/>
          <w:bCs/>
          <w:color w:val="auto"/>
          <w:kern w:val="2"/>
          <w:sz w:val="32"/>
          <w:szCs w:val="32"/>
          <w:lang w:val="en-US" w:eastAsia="zh-CN" w:bidi="ar-SA"/>
        </w:rPr>
        <w:t>2.现场笔录1份、询问笔录1份、证据提取单7份，证明当事人销售上述霍山米斛酒、广西六堡茶的事实及购销情况，以及当事人</w:t>
      </w:r>
      <w:r>
        <w:rPr>
          <w:rFonts w:hint="eastAsia" w:ascii="仿宋_GB2312" w:hAnsi="仿宋_GB2312" w:eastAsia="仿宋_GB2312" w:cs="仿宋_GB2312"/>
          <w:bCs/>
          <w:color w:val="auto"/>
          <w:kern w:val="2"/>
          <w:sz w:val="32"/>
          <w:szCs w:val="32"/>
          <w:lang w:val="en-US" w:eastAsia="zh-CN" w:bidi="ar-SA"/>
        </w:rPr>
        <w:t>在销售上述食品时</w:t>
      </w:r>
      <w:r>
        <w:rPr>
          <w:rFonts w:hint="eastAsia" w:hAnsi="仿宋_GB2312" w:cs="仿宋_GB2312"/>
          <w:bCs/>
          <w:color w:val="auto"/>
          <w:kern w:val="2"/>
          <w:sz w:val="32"/>
          <w:szCs w:val="32"/>
          <w:lang w:val="en-US" w:eastAsia="zh-CN" w:bidi="ar-SA"/>
        </w:rPr>
        <w:t>未查验供货商资质材料及食品合格证明文件。</w:t>
      </w:r>
    </w:p>
    <w:p w14:paraId="7832626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以上证据均由经营者签名认可。</w:t>
      </w:r>
    </w:p>
    <w:p w14:paraId="708E3406">
      <w:pPr>
        <w:keepNext w:val="0"/>
        <w:keepLines w:val="0"/>
        <w:pageBreakBefore w:val="0"/>
        <w:widowControl w:val="0"/>
        <w:kinsoku/>
        <w:wordWrap/>
        <w:overflowPunct/>
        <w:topLinePunct w:val="0"/>
        <w:autoSpaceDE/>
        <w:autoSpaceDN/>
        <w:bidi w:val="0"/>
        <w:adjustRightInd/>
        <w:snapToGrid/>
        <w:spacing w:line="44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eastAsia="zh-CN"/>
        </w:rPr>
        <w:t>我局于</w:t>
      </w:r>
      <w:r>
        <w:rPr>
          <w:rFonts w:hint="eastAsia" w:ascii="仿宋_GB2312" w:hAnsi="仿宋_GB2312" w:eastAsia="仿宋_GB2312" w:cs="仿宋_GB2312"/>
          <w:b w:val="0"/>
          <w:bCs w:val="0"/>
          <w:color w:val="auto"/>
          <w:sz w:val="32"/>
          <w:szCs w:val="32"/>
          <w:u w:val="none"/>
          <w:lang w:val="en-US" w:eastAsia="zh-CN"/>
        </w:rPr>
        <w:t>2026年6月30日向当事人送达了《行政处罚告知书》（</w:t>
      </w:r>
      <w:r>
        <w:rPr>
          <w:rFonts w:hint="default" w:ascii="Times New Roman" w:hAnsi="Times New Roman" w:eastAsia="仿宋_GB2312" w:cs="仿宋"/>
          <w:color w:val="auto"/>
          <w:sz w:val="32"/>
          <w:u w:val="none"/>
        </w:rPr>
        <w:t>柳北市监罚告〔</w:t>
      </w:r>
      <w:r>
        <w:rPr>
          <w:rFonts w:hint="default" w:ascii="仿宋_GB2312" w:hAnsi="仿宋_GB2312" w:eastAsia="仿宋_GB2312" w:cs="仿宋_GB2312"/>
          <w:b w:val="0"/>
          <w:bCs w:val="0"/>
          <w:color w:val="auto"/>
          <w:sz w:val="32"/>
          <w:szCs w:val="32"/>
          <w:u w:val="none"/>
          <w:lang w:val="en-US" w:eastAsia="zh-CN"/>
        </w:rPr>
        <w:t>2026〕</w:t>
      </w:r>
      <w:r>
        <w:rPr>
          <w:rFonts w:hint="eastAsia" w:ascii="仿宋_GB2312" w:hAnsi="仿宋_GB2312" w:eastAsia="仿宋_GB2312" w:cs="仿宋_GB2312"/>
          <w:b w:val="0"/>
          <w:bCs w:val="0"/>
          <w:color w:val="auto"/>
          <w:sz w:val="32"/>
          <w:szCs w:val="32"/>
          <w:u w:val="none"/>
          <w:lang w:val="en-US" w:eastAsia="zh-CN"/>
        </w:rPr>
        <w:t>H062401</w:t>
      </w:r>
      <w:r>
        <w:rPr>
          <w:rFonts w:hint="default" w:ascii="Times New Roman" w:hAnsi="Times New Roman" w:eastAsia="仿宋_GB2312" w:cs="仿宋"/>
          <w:color w:val="auto"/>
          <w:sz w:val="32"/>
          <w:u w:val="none"/>
        </w:rPr>
        <w:t>号</w:t>
      </w:r>
      <w:r>
        <w:rPr>
          <w:rFonts w:hint="eastAsia" w:ascii="仿宋_GB2312" w:hAnsi="仿宋_GB2312" w:eastAsia="仿宋_GB2312" w:cs="仿宋_GB2312"/>
          <w:b w:val="0"/>
          <w:bCs w:val="0"/>
          <w:color w:val="auto"/>
          <w:sz w:val="32"/>
          <w:szCs w:val="32"/>
          <w:u w:val="none"/>
          <w:lang w:val="en-US" w:eastAsia="zh-CN"/>
        </w:rPr>
        <w:t xml:space="preserve">），告知当事人我局拟作出行政处罚的事实、理由、依据、处罚内容及享有的权利。当事人在法定期限内未提出陈述、申辩。 </w:t>
      </w:r>
    </w:p>
    <w:p w14:paraId="56BCB38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bCs/>
          <w:color w:val="auto"/>
          <w:sz w:val="32"/>
          <w:szCs w:val="32"/>
          <w:lang w:val="en-US" w:eastAsia="zh-CN"/>
        </w:rPr>
      </w:pPr>
      <w:r>
        <w:rPr>
          <w:rFonts w:hint="eastAsia"/>
          <w:color w:val="auto"/>
          <w:u w:val="none"/>
          <w:lang w:val="en-US" w:eastAsia="zh-CN"/>
        </w:rPr>
        <w:t xml:space="preserve">  </w:t>
      </w:r>
      <w:bookmarkStart w:id="6" w:name="OLE_LINK9"/>
      <w:r>
        <w:rPr>
          <w:rFonts w:hint="eastAsia" w:ascii="仿宋_GB2312" w:hAnsi="仿宋_GB2312" w:eastAsia="仿宋_GB2312" w:cs="仿宋_GB2312"/>
          <w:bCs/>
          <w:color w:val="auto"/>
          <w:sz w:val="32"/>
          <w:szCs w:val="32"/>
          <w:lang w:val="en-US" w:eastAsia="zh-CN"/>
        </w:rPr>
        <w:t>当事人销售的上述食品，均为预先定量制作在包装材料和容器中并且在一定量限范围内具有统一的质量或体积标识的食品，属于《食品安全国家标准 预包装食品标签通则》（GB7718-2011）2.1规定的预包装食品。当事人经营上述预包装食品的行为，违反了《中华人民共和国食品安全法》</w:t>
      </w:r>
      <w:bookmarkStart w:id="7" w:name="OLE_LINK4"/>
      <w:r>
        <w:rPr>
          <w:rFonts w:hint="eastAsia" w:ascii="仿宋_GB2312" w:hAnsi="仿宋_GB2312" w:eastAsia="仿宋_GB2312" w:cs="仿宋_GB2312"/>
          <w:bCs/>
          <w:color w:val="auto"/>
          <w:sz w:val="32"/>
          <w:szCs w:val="32"/>
          <w:lang w:val="en-US" w:eastAsia="zh-CN"/>
        </w:rPr>
        <w:t>第六十七条第一款</w:t>
      </w:r>
      <w:bookmarkEnd w:id="7"/>
      <w:r>
        <w:rPr>
          <w:rFonts w:hint="eastAsia" w:ascii="仿宋_GB2312" w:hAnsi="仿宋_GB2312" w:eastAsia="仿宋_GB2312" w:cs="仿宋_GB2312"/>
          <w:bCs/>
          <w:color w:val="auto"/>
          <w:sz w:val="32"/>
          <w:szCs w:val="32"/>
          <w:lang w:val="en-US" w:eastAsia="zh-CN"/>
        </w:rPr>
        <w:t>的规定，属于经营</w:t>
      </w:r>
      <w:r>
        <w:rPr>
          <w:rFonts w:hint="eastAsia" w:ascii="仿宋_GB2312" w:hAnsi="仿宋_GB2312" w:eastAsia="仿宋_GB2312" w:cs="仿宋_GB2312"/>
          <w:b w:val="0"/>
          <w:bCs/>
          <w:color w:val="auto"/>
          <w:kern w:val="2"/>
          <w:sz w:val="32"/>
          <w:szCs w:val="32"/>
          <w:lang w:val="en-US" w:eastAsia="zh-CN" w:bidi="ar"/>
        </w:rPr>
        <w:t>标签不符合规定的</w:t>
      </w:r>
      <w:r>
        <w:rPr>
          <w:rFonts w:hint="eastAsia" w:ascii="仿宋_GB2312" w:hAnsi="仿宋_GB2312" w:eastAsia="仿宋_GB2312" w:cs="仿宋_GB2312"/>
          <w:bCs/>
          <w:color w:val="auto"/>
          <w:sz w:val="32"/>
          <w:szCs w:val="32"/>
          <w:lang w:val="en-US" w:eastAsia="zh-CN"/>
        </w:rPr>
        <w:t>预包装食品的行为。本案货值金额为1600元，违法所得为1600元。</w:t>
      </w:r>
    </w:p>
    <w:p w14:paraId="5EBDB682">
      <w:pPr>
        <w:pStyle w:val="2"/>
        <w:keepNext w:val="0"/>
        <w:keepLines w:val="0"/>
        <w:pageBreakBefore w:val="0"/>
        <w:widowControl w:val="0"/>
        <w:kinsoku/>
        <w:wordWrap/>
        <w:overflowPunct/>
        <w:topLinePunct w:val="0"/>
        <w:bidi w:val="0"/>
        <w:snapToGrid/>
        <w:spacing w:line="440" w:lineRule="exact"/>
        <w:ind w:firstLine="640"/>
        <w:textAlignment w:val="auto"/>
        <w:rPr>
          <w:rFonts w:hint="default"/>
          <w:color w:val="auto"/>
          <w:lang w:val="en-US" w:eastAsia="zh-CN"/>
        </w:rPr>
      </w:pPr>
      <w:r>
        <w:rPr>
          <w:rFonts w:hint="eastAsia" w:ascii="仿宋_GB2312" w:hAnsi="仿宋_GB2312" w:eastAsia="仿宋_GB2312" w:cs="仿宋_GB2312"/>
          <w:bCs/>
          <w:color w:val="auto"/>
          <w:kern w:val="2"/>
          <w:sz w:val="32"/>
          <w:szCs w:val="32"/>
          <w:lang w:val="en-US" w:eastAsia="zh-CN" w:bidi="ar-SA"/>
        </w:rPr>
        <w:t>当事人在</w:t>
      </w:r>
      <w:r>
        <w:rPr>
          <w:rFonts w:hint="eastAsia" w:hAnsi="仿宋_GB2312" w:cs="仿宋_GB2312"/>
          <w:bCs/>
          <w:color w:val="auto"/>
          <w:kern w:val="2"/>
          <w:sz w:val="32"/>
          <w:szCs w:val="32"/>
          <w:lang w:val="en-US" w:eastAsia="zh-CN" w:bidi="ar-SA"/>
        </w:rPr>
        <w:t>购进</w:t>
      </w:r>
      <w:r>
        <w:rPr>
          <w:rFonts w:hint="eastAsia" w:ascii="仿宋_GB2312" w:hAnsi="仿宋_GB2312" w:eastAsia="仿宋_GB2312" w:cs="仿宋_GB2312"/>
          <w:bCs/>
          <w:color w:val="auto"/>
          <w:kern w:val="2"/>
          <w:sz w:val="32"/>
          <w:szCs w:val="32"/>
          <w:lang w:val="en-US" w:eastAsia="zh-CN" w:bidi="ar-SA"/>
        </w:rPr>
        <w:t>上述食品时</w:t>
      </w:r>
      <w:r>
        <w:rPr>
          <w:rFonts w:hint="eastAsia" w:hAnsi="仿宋_GB2312" w:cs="仿宋_GB2312"/>
          <w:bCs/>
          <w:color w:val="auto"/>
          <w:kern w:val="2"/>
          <w:sz w:val="32"/>
          <w:szCs w:val="32"/>
          <w:lang w:val="en-US" w:eastAsia="zh-CN" w:bidi="ar-SA"/>
        </w:rPr>
        <w:t>未查验供货商资质及食品合格证明文件</w:t>
      </w:r>
      <w:r>
        <w:rPr>
          <w:rFonts w:hint="eastAsia" w:ascii="仿宋_GB2312" w:hAnsi="仿宋_GB2312" w:eastAsia="仿宋_GB2312" w:cs="仿宋_GB2312"/>
          <w:bCs/>
          <w:color w:val="auto"/>
          <w:sz w:val="32"/>
          <w:szCs w:val="32"/>
          <w:lang w:val="en-US" w:eastAsia="zh-CN"/>
        </w:rPr>
        <w:t>，违反了《中华人民共和国食品安全法》第五十</w:t>
      </w:r>
      <w:r>
        <w:rPr>
          <w:rFonts w:hint="eastAsia" w:hAnsi="仿宋_GB2312" w:cs="仿宋_GB2312"/>
          <w:bCs/>
          <w:color w:val="auto"/>
          <w:sz w:val="32"/>
          <w:szCs w:val="32"/>
          <w:lang w:val="en-US" w:eastAsia="zh-CN"/>
        </w:rPr>
        <w:t>三</w:t>
      </w:r>
      <w:r>
        <w:rPr>
          <w:rFonts w:hint="eastAsia" w:ascii="仿宋_GB2312" w:hAnsi="仿宋_GB2312" w:eastAsia="仿宋_GB2312" w:cs="仿宋_GB2312"/>
          <w:bCs/>
          <w:color w:val="auto"/>
          <w:sz w:val="32"/>
          <w:szCs w:val="32"/>
          <w:lang w:val="en-US" w:eastAsia="zh-CN"/>
        </w:rPr>
        <w:t>条</w:t>
      </w:r>
      <w:r>
        <w:rPr>
          <w:rFonts w:hint="eastAsia" w:hAnsi="仿宋_GB2312" w:cs="仿宋_GB2312"/>
          <w:bCs/>
          <w:color w:val="auto"/>
          <w:sz w:val="32"/>
          <w:szCs w:val="32"/>
          <w:lang w:val="en-US" w:eastAsia="zh-CN"/>
        </w:rPr>
        <w:t>第一款的</w:t>
      </w:r>
      <w:r>
        <w:rPr>
          <w:rFonts w:hint="eastAsia" w:ascii="仿宋_GB2312" w:hAnsi="仿宋_GB2312" w:eastAsia="仿宋_GB2312" w:cs="仿宋_GB2312"/>
          <w:bCs/>
          <w:color w:val="auto"/>
          <w:sz w:val="32"/>
          <w:szCs w:val="32"/>
          <w:lang w:val="en-US" w:eastAsia="zh-CN"/>
        </w:rPr>
        <w:t>规定，属于未履行进货查验记录</w:t>
      </w:r>
      <w:r>
        <w:rPr>
          <w:rFonts w:hint="eastAsia" w:hAnsi="仿宋_GB2312" w:cs="仿宋_GB2312"/>
          <w:bCs/>
          <w:color w:val="auto"/>
          <w:sz w:val="32"/>
          <w:szCs w:val="32"/>
          <w:lang w:val="en-US" w:eastAsia="zh-CN"/>
        </w:rPr>
        <w:t>义务</w:t>
      </w:r>
      <w:r>
        <w:rPr>
          <w:rFonts w:hint="eastAsia" w:ascii="仿宋_GB2312" w:hAnsi="仿宋_GB2312" w:eastAsia="仿宋_GB2312" w:cs="仿宋_GB2312"/>
          <w:bCs/>
          <w:color w:val="auto"/>
          <w:sz w:val="32"/>
          <w:szCs w:val="32"/>
          <w:lang w:val="en-US" w:eastAsia="zh-CN"/>
        </w:rPr>
        <w:t>的行为。</w:t>
      </w:r>
    </w:p>
    <w:bookmarkEnd w:id="6"/>
    <w:p w14:paraId="51EBE3DC">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在案件调查过程中当事人积极配合调查</w:t>
      </w:r>
      <w:r>
        <w:rPr>
          <w:rFonts w:hint="eastAsia" w:ascii="仿宋_GB2312" w:hAnsi="仿宋_GB2312" w:eastAsia="仿宋_GB2312" w:cs="仿宋_GB2312"/>
          <w:bCs/>
          <w:color w:val="auto"/>
          <w:sz w:val="32"/>
          <w:szCs w:val="32"/>
          <w:highlight w:val="none"/>
          <w:u w:val="none"/>
          <w:lang w:val="en-US" w:eastAsia="zh-CN"/>
        </w:rPr>
        <w:t>并主动提供相关证据材料</w:t>
      </w:r>
      <w:r>
        <w:rPr>
          <w:rFonts w:hint="eastAsia" w:ascii="仿宋_GB2312" w:hAnsi="仿宋_GB2312" w:eastAsia="仿宋_GB2312" w:cs="仿宋_GB2312"/>
          <w:bCs/>
          <w:color w:val="auto"/>
          <w:sz w:val="32"/>
          <w:szCs w:val="32"/>
          <w:lang w:val="en-US" w:eastAsia="zh-CN"/>
        </w:rPr>
        <w:t>，如实陈述其违法行为，</w:t>
      </w:r>
      <w:r>
        <w:rPr>
          <w:rFonts w:hint="eastAsia" w:ascii="仿宋_GB2312" w:hAnsi="仿宋_GB2312" w:eastAsia="仿宋_GB2312" w:cs="仿宋_GB2312"/>
          <w:bCs/>
          <w:color w:val="auto"/>
          <w:sz w:val="32"/>
          <w:szCs w:val="32"/>
          <w:highlight w:val="none"/>
          <w:u w:val="none"/>
          <w:lang w:val="en-US" w:eastAsia="zh-CN"/>
        </w:rPr>
        <w:t>具有市场监管总局《关于规范市场监督管理行政处罚裁量权的指导意见》第十四条第一款第二项、</w:t>
      </w:r>
      <w:r>
        <w:rPr>
          <w:rFonts w:hint="eastAsia" w:ascii="仿宋_GB2312" w:hAnsi="仿宋_GB2312" w:eastAsia="仿宋_GB2312" w:cs="仿宋_GB2312"/>
          <w:bCs/>
          <w:color w:val="auto"/>
          <w:sz w:val="32"/>
          <w:szCs w:val="32"/>
          <w:highlight w:val="none"/>
          <w:lang w:val="en-US" w:eastAsia="zh-CN"/>
        </w:rPr>
        <w:t>《</w:t>
      </w:r>
      <w:r>
        <w:rPr>
          <w:rFonts w:hint="default" w:ascii="仿宋_GB2312" w:hAnsi="仿宋_GB2312" w:eastAsia="仿宋_GB2312" w:cs="仿宋_GB2312"/>
          <w:bCs/>
          <w:color w:val="auto"/>
          <w:sz w:val="32"/>
          <w:szCs w:val="32"/>
          <w:highlight w:val="none"/>
          <w:lang w:val="en-US" w:eastAsia="zh-CN"/>
        </w:rPr>
        <w:t>广西壮族自治区市场监督管理行政处罚裁量权适用规定</w:t>
      </w:r>
      <w:r>
        <w:rPr>
          <w:rFonts w:hint="eastAsia" w:ascii="仿宋_GB2312" w:hAnsi="仿宋_GB2312" w:eastAsia="仿宋_GB2312" w:cs="仿宋_GB2312"/>
          <w:bCs/>
          <w:color w:val="auto"/>
          <w:sz w:val="32"/>
          <w:szCs w:val="32"/>
          <w:highlight w:val="none"/>
          <w:lang w:val="en-US" w:eastAsia="zh-CN"/>
        </w:rPr>
        <w:t>》</w:t>
      </w:r>
      <w:r>
        <w:rPr>
          <w:rFonts w:hint="default" w:ascii="仿宋_GB2312" w:hAnsi="仿宋_GB2312" w:eastAsia="仿宋_GB2312" w:cs="仿宋_GB2312"/>
          <w:bCs/>
          <w:color w:val="auto"/>
          <w:sz w:val="32"/>
          <w:szCs w:val="32"/>
          <w:highlight w:val="none"/>
          <w:lang w:val="en-US" w:eastAsia="zh-CN"/>
        </w:rPr>
        <w:t>第十</w:t>
      </w:r>
      <w:r>
        <w:rPr>
          <w:rFonts w:hint="eastAsia" w:ascii="仿宋_GB2312" w:hAnsi="仿宋_GB2312" w:eastAsia="仿宋_GB2312" w:cs="仿宋_GB2312"/>
          <w:bCs/>
          <w:color w:val="auto"/>
          <w:sz w:val="32"/>
          <w:szCs w:val="32"/>
          <w:highlight w:val="none"/>
          <w:lang w:val="en-US" w:eastAsia="zh-CN"/>
        </w:rPr>
        <w:t>二</w:t>
      </w:r>
      <w:r>
        <w:rPr>
          <w:rFonts w:hint="default" w:ascii="仿宋_GB2312" w:hAnsi="仿宋_GB2312" w:eastAsia="仿宋_GB2312" w:cs="仿宋_GB2312"/>
          <w:bCs/>
          <w:color w:val="auto"/>
          <w:sz w:val="32"/>
          <w:szCs w:val="32"/>
          <w:highlight w:val="none"/>
          <w:lang w:val="en-US" w:eastAsia="zh-CN"/>
        </w:rPr>
        <w:t>条</w:t>
      </w:r>
      <w:r>
        <w:rPr>
          <w:rFonts w:hint="eastAsia" w:ascii="仿宋_GB2312" w:hAnsi="仿宋_GB2312" w:eastAsia="仿宋_GB2312" w:cs="仿宋_GB2312"/>
          <w:bCs/>
          <w:color w:val="auto"/>
          <w:sz w:val="32"/>
          <w:szCs w:val="32"/>
          <w:highlight w:val="none"/>
          <w:lang w:val="en-US" w:eastAsia="zh-CN"/>
        </w:rPr>
        <w:t>第一款第二项</w:t>
      </w:r>
      <w:r>
        <w:rPr>
          <w:rFonts w:hint="eastAsia" w:ascii="仿宋_GB2312" w:hAnsi="仿宋_GB2312" w:eastAsia="仿宋_GB2312" w:cs="仿宋_GB2312"/>
          <w:bCs/>
          <w:color w:val="auto"/>
          <w:sz w:val="32"/>
          <w:szCs w:val="32"/>
          <w:highlight w:val="none"/>
          <w:u w:val="none"/>
          <w:lang w:val="en-US" w:eastAsia="zh-CN"/>
        </w:rPr>
        <w:t xml:space="preserve">规定的可以依法从轻或者减轻行政处罚的情形，当事人销售上述食品的行为，未造成食品安全事故等人身危害后果且货值金额不足 </w:t>
      </w:r>
      <w:r>
        <w:rPr>
          <w:rFonts w:hint="default" w:ascii="仿宋_GB2312" w:hAnsi="仿宋_GB2312" w:eastAsia="仿宋_GB2312" w:cs="仿宋_GB2312"/>
          <w:bCs/>
          <w:color w:val="auto"/>
          <w:sz w:val="32"/>
          <w:szCs w:val="32"/>
          <w:highlight w:val="none"/>
          <w:u w:val="none"/>
          <w:lang w:val="en-US" w:eastAsia="zh-CN"/>
        </w:rPr>
        <w:t>3</w:t>
      </w:r>
      <w:r>
        <w:rPr>
          <w:rFonts w:hint="eastAsia" w:ascii="仿宋_GB2312" w:hAnsi="仿宋_GB2312" w:eastAsia="仿宋_GB2312" w:cs="仿宋_GB2312"/>
          <w:bCs/>
          <w:color w:val="auto"/>
          <w:sz w:val="32"/>
          <w:szCs w:val="32"/>
          <w:highlight w:val="none"/>
          <w:u w:val="none"/>
          <w:lang w:val="en-US" w:eastAsia="zh-CN"/>
        </w:rPr>
        <w:t>000 元，符合《广西壮族自治区市场监督管理行政处罚裁量基准（2023 版）》中《食品安全法》行政处罚裁量基准减轻处罚适用情形。依据《中华人民共和国行政处罚法》第五条、第六条的规定，</w:t>
      </w:r>
      <w:r>
        <w:rPr>
          <w:rFonts w:hint="eastAsia" w:ascii="仿宋_GB2312" w:hAnsi="仿宋_GB2312" w:eastAsia="仿宋_GB2312" w:cs="仿宋_GB2312"/>
          <w:bCs/>
          <w:color w:val="auto"/>
          <w:sz w:val="32"/>
          <w:szCs w:val="32"/>
          <w:lang w:val="en-US" w:eastAsia="zh-CN"/>
        </w:rPr>
        <w:t>我局决定对当事人减轻行政处罚。</w:t>
      </w:r>
    </w:p>
    <w:bookmarkEnd w:id="5"/>
    <w:p w14:paraId="410D890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仿宋_GB2312" w:eastAsia="仿宋_GB2312" w:cs="仿宋_GB2312"/>
          <w:color w:val="auto"/>
          <w:spacing w:val="0"/>
          <w:kern w:val="2"/>
          <w:sz w:val="32"/>
          <w:szCs w:val="32"/>
          <w:highlight w:val="none"/>
          <w:u w:val="none"/>
          <w:lang w:val="en-US" w:eastAsia="zh-CN" w:bidi="ar-SA"/>
        </w:rPr>
      </w:pPr>
      <w:r>
        <w:rPr>
          <w:rFonts w:hint="eastAsia" w:ascii="仿宋_GB2312" w:hAnsi="仿宋_GB2312" w:eastAsia="仿宋_GB2312" w:cs="仿宋_GB2312"/>
          <w:color w:val="auto"/>
          <w:spacing w:val="0"/>
          <w:kern w:val="2"/>
          <w:sz w:val="32"/>
          <w:szCs w:val="32"/>
          <w:highlight w:val="none"/>
          <w:u w:val="none"/>
          <w:lang w:val="en-US" w:eastAsia="zh-CN" w:bidi="ar-SA"/>
        </w:rPr>
        <w:t>对于当事人经营</w:t>
      </w:r>
      <w:r>
        <w:rPr>
          <w:rFonts w:hint="eastAsia" w:ascii="仿宋_GB2312" w:hAnsi="仿宋_GB2312" w:eastAsia="仿宋_GB2312" w:cs="仿宋_GB2312"/>
          <w:b w:val="0"/>
          <w:bCs/>
          <w:color w:val="auto"/>
          <w:kern w:val="2"/>
          <w:sz w:val="32"/>
          <w:szCs w:val="32"/>
          <w:lang w:val="en-US" w:eastAsia="zh-CN" w:bidi="ar"/>
        </w:rPr>
        <w:t>标签不符合规定</w:t>
      </w:r>
      <w:r>
        <w:rPr>
          <w:rFonts w:hint="eastAsia" w:ascii="仿宋_GB2312" w:hAnsi="仿宋_GB2312" w:eastAsia="仿宋_GB2312" w:cs="仿宋_GB2312"/>
          <w:color w:val="auto"/>
          <w:spacing w:val="0"/>
          <w:kern w:val="2"/>
          <w:sz w:val="32"/>
          <w:szCs w:val="32"/>
          <w:highlight w:val="none"/>
          <w:u w:val="none"/>
          <w:lang w:val="en-US" w:eastAsia="zh-CN" w:bidi="ar-SA"/>
        </w:rPr>
        <w:t>预包装食品的行为，依据《中华人民共和国食品安全法》第一百二十五条第一款第二项、《中华人民共和国行政处罚法》第二十八条第一款的规定，我局决定责令当事人立即改正违法行为，并处以没收违法所得1600元、罚款2000元的行政处罚。</w:t>
      </w:r>
    </w:p>
    <w:p w14:paraId="078FE7F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auto"/>
          <w:spacing w:val="0"/>
          <w:kern w:val="2"/>
          <w:sz w:val="32"/>
          <w:szCs w:val="32"/>
          <w:highlight w:val="none"/>
          <w:u w:val="none"/>
          <w:lang w:val="en-US" w:eastAsia="zh-CN" w:bidi="ar-SA"/>
        </w:rPr>
      </w:pPr>
      <w:r>
        <w:rPr>
          <w:rFonts w:hint="eastAsia" w:ascii="仿宋_GB2312" w:hAnsi="仿宋_GB2312" w:eastAsia="仿宋_GB2312" w:cs="仿宋_GB2312"/>
          <w:color w:val="auto"/>
          <w:spacing w:val="0"/>
          <w:kern w:val="2"/>
          <w:sz w:val="32"/>
          <w:szCs w:val="32"/>
          <w:highlight w:val="none"/>
          <w:u w:val="none"/>
          <w:lang w:val="en-US" w:eastAsia="zh-CN" w:bidi="ar-SA"/>
        </w:rPr>
        <w:t>对于当事人未履行进货查验记录义务的行为，依据《中华人民共和国食品安全法》第一百二十六条第一款第三项之规定，我局决定责令当事人立即改正该违法行为，并给予警告的行政处罚。</w:t>
      </w:r>
    </w:p>
    <w:p w14:paraId="590EF7D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auto"/>
          <w:spacing w:val="0"/>
          <w:kern w:val="2"/>
          <w:sz w:val="32"/>
          <w:szCs w:val="32"/>
          <w:highlight w:val="none"/>
          <w:u w:val="none"/>
          <w:lang w:val="en-US" w:eastAsia="zh-CN" w:bidi="ar-SA"/>
        </w:rPr>
      </w:pPr>
      <w:r>
        <w:rPr>
          <w:rFonts w:hint="eastAsia" w:ascii="仿宋_GB2312" w:hAnsi="仿宋_GB2312" w:eastAsia="仿宋_GB2312" w:cs="仿宋_GB2312"/>
          <w:color w:val="auto"/>
          <w:spacing w:val="0"/>
          <w:kern w:val="2"/>
          <w:sz w:val="32"/>
          <w:szCs w:val="32"/>
          <w:highlight w:val="none"/>
          <w:u w:val="none"/>
          <w:lang w:val="en-US" w:eastAsia="zh-CN" w:bidi="ar-SA"/>
        </w:rPr>
        <w:t>综上所述，我局责令当事人立即改正上述违法行为，并给予如下行政处罚：</w:t>
      </w:r>
    </w:p>
    <w:p w14:paraId="750D6F5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auto"/>
          <w:spacing w:val="0"/>
          <w:kern w:val="2"/>
          <w:sz w:val="32"/>
          <w:szCs w:val="32"/>
          <w:highlight w:val="none"/>
          <w:u w:val="none"/>
          <w:lang w:val="en-US" w:eastAsia="zh-CN" w:bidi="ar-SA"/>
        </w:rPr>
      </w:pPr>
      <w:r>
        <w:rPr>
          <w:rFonts w:hint="eastAsia" w:ascii="仿宋_GB2312" w:hAnsi="仿宋_GB2312" w:eastAsia="仿宋_GB2312" w:cs="仿宋_GB2312"/>
          <w:color w:val="auto"/>
          <w:spacing w:val="0"/>
          <w:kern w:val="2"/>
          <w:sz w:val="32"/>
          <w:szCs w:val="32"/>
          <w:highlight w:val="none"/>
          <w:u w:val="none"/>
          <w:lang w:val="en-US" w:eastAsia="zh-CN" w:bidi="ar-SA"/>
        </w:rPr>
        <w:t>1.警告；</w:t>
      </w:r>
    </w:p>
    <w:p w14:paraId="79D98D0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仿宋_GB2312" w:eastAsia="仿宋_GB2312" w:cs="仿宋_GB2312"/>
          <w:color w:val="auto"/>
          <w:spacing w:val="0"/>
          <w:kern w:val="2"/>
          <w:sz w:val="32"/>
          <w:szCs w:val="32"/>
          <w:highlight w:val="none"/>
          <w:u w:val="none"/>
          <w:lang w:val="en-US" w:eastAsia="zh-CN" w:bidi="ar-SA"/>
        </w:rPr>
      </w:pPr>
      <w:r>
        <w:rPr>
          <w:rFonts w:hint="eastAsia" w:ascii="仿宋_GB2312" w:hAnsi="仿宋_GB2312" w:eastAsia="仿宋_GB2312" w:cs="仿宋_GB2312"/>
          <w:color w:val="auto"/>
          <w:spacing w:val="0"/>
          <w:kern w:val="2"/>
          <w:sz w:val="32"/>
          <w:szCs w:val="32"/>
          <w:highlight w:val="none"/>
          <w:u w:val="none"/>
          <w:lang w:val="en-US" w:eastAsia="zh-CN" w:bidi="ar-SA"/>
        </w:rPr>
        <w:t>2.没收违法所得1600元；</w:t>
      </w:r>
    </w:p>
    <w:p w14:paraId="75618D0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auto"/>
          <w:spacing w:val="0"/>
          <w:kern w:val="2"/>
          <w:sz w:val="32"/>
          <w:szCs w:val="32"/>
          <w:highlight w:val="none"/>
          <w:u w:val="none"/>
          <w:lang w:val="en-US" w:eastAsia="zh-CN" w:bidi="ar-SA"/>
        </w:rPr>
      </w:pPr>
      <w:r>
        <w:rPr>
          <w:rFonts w:hint="eastAsia" w:ascii="仿宋_GB2312" w:hAnsi="仿宋_GB2312" w:eastAsia="仿宋_GB2312" w:cs="仿宋_GB2312"/>
          <w:color w:val="auto"/>
          <w:spacing w:val="0"/>
          <w:kern w:val="2"/>
          <w:sz w:val="32"/>
          <w:szCs w:val="32"/>
          <w:highlight w:val="none"/>
          <w:u w:val="none"/>
          <w:lang w:val="en-US" w:eastAsia="zh-CN" w:bidi="ar-SA"/>
        </w:rPr>
        <w:t>3.罚款2000元。</w:t>
      </w:r>
    </w:p>
    <w:p w14:paraId="60F2121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仿宋_GB2312" w:eastAsia="仿宋_GB2312" w:cs="仿宋_GB2312"/>
          <w:color w:val="auto"/>
          <w:spacing w:val="0"/>
          <w:kern w:val="2"/>
          <w:sz w:val="32"/>
          <w:szCs w:val="32"/>
          <w:highlight w:val="none"/>
          <w:u w:val="none"/>
          <w:lang w:val="en-US" w:eastAsia="zh-CN" w:bidi="ar-SA"/>
        </w:rPr>
      </w:pPr>
      <w:r>
        <w:rPr>
          <w:rFonts w:hint="eastAsia" w:ascii="仿宋_GB2312" w:hAnsi="仿宋_GB2312" w:eastAsia="仿宋_GB2312" w:cs="仿宋_GB2312"/>
          <w:color w:val="auto"/>
          <w:spacing w:val="0"/>
          <w:kern w:val="2"/>
          <w:sz w:val="32"/>
          <w:szCs w:val="32"/>
          <w:highlight w:val="none"/>
          <w:u w:val="none"/>
          <w:lang w:val="en-US" w:eastAsia="zh-CN" w:bidi="ar-SA"/>
        </w:rPr>
        <w:t>上述罚没款共计3600元。</w:t>
      </w:r>
    </w:p>
    <w:p w14:paraId="1B14EA62">
      <w:pPr>
        <w:keepNext w:val="0"/>
        <w:keepLines w:val="0"/>
        <w:pageBreakBefore w:val="0"/>
        <w:widowControl w:val="0"/>
        <w:kinsoku/>
        <w:wordWrap/>
        <w:overflowPunct/>
        <w:topLinePunct w:val="0"/>
        <w:bidi w:val="0"/>
        <w:snapToGrid/>
        <w:spacing w:line="440" w:lineRule="exact"/>
        <w:ind w:firstLine="640" w:firstLineChars="200"/>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u w:val="none"/>
          <w:lang w:val="en-US" w:eastAsia="zh-CN"/>
        </w:rPr>
        <w:t>当事人应当自收到本行政处罚决定书之日起十五日内，凭《广西壮族自治区非税收入电子缴款通知书》到中国建设银行缴纳罚款。逾期不缴纳罚款的，依据《中华人民共和国行政处罚法》第七十二条的规定，我局将每日按罚款数额的百分之三加处罚款，并依法申请人民法院强制执行。</w:t>
      </w:r>
    </w:p>
    <w:p w14:paraId="3A020D73">
      <w:pPr>
        <w:keepNext w:val="0"/>
        <w:keepLines w:val="0"/>
        <w:pageBreakBefore w:val="0"/>
        <w:widowControl w:val="0"/>
        <w:kinsoku/>
        <w:wordWrap/>
        <w:overflowPunct/>
        <w:topLinePunct w:val="0"/>
        <w:bidi w:val="0"/>
        <w:snapToGrid/>
        <w:spacing w:line="440" w:lineRule="exact"/>
        <w:ind w:firstLine="640" w:firstLineChars="200"/>
        <w:textAlignment w:val="auto"/>
        <w:outlineLvl w:val="9"/>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当事人如不服本行处罚决定，可在接到本行政处罚决定书之日起60日内向柳州市柳北区人民政府申请行政复议；也可以在6个月内依法向柳州市柳南区人民法院提起行政诉讼。申请行政复议或者提起行政诉讼期间，行政处罚不停止执行。</w:t>
      </w:r>
    </w:p>
    <w:p w14:paraId="1E1549BB">
      <w:pPr>
        <w:pStyle w:val="2"/>
        <w:rPr>
          <w:rFonts w:hint="eastAsia"/>
          <w:color w:val="auto"/>
          <w:lang w:val="en-US" w:eastAsia="zh-CN"/>
        </w:rPr>
      </w:pPr>
    </w:p>
    <w:p w14:paraId="2A10EA98">
      <w:pPr>
        <w:pStyle w:val="2"/>
        <w:keepNext w:val="0"/>
        <w:keepLines w:val="0"/>
        <w:pageBreakBefore w:val="0"/>
        <w:kinsoku/>
        <w:wordWrap/>
        <w:overflowPunct/>
        <w:topLinePunct w:val="0"/>
        <w:bidi w:val="0"/>
        <w:snapToGrid/>
        <w:spacing w:line="440" w:lineRule="exact"/>
        <w:textAlignment w:val="auto"/>
        <w:rPr>
          <w:rFonts w:hint="eastAsia"/>
          <w:color w:val="auto"/>
        </w:rPr>
      </w:pPr>
    </w:p>
    <w:p w14:paraId="604DAF4C">
      <w:pPr>
        <w:keepNext w:val="0"/>
        <w:keepLines w:val="0"/>
        <w:pageBreakBefore w:val="0"/>
        <w:widowControl w:val="0"/>
        <w:kinsoku/>
        <w:wordWrap/>
        <w:overflowPunct/>
        <w:topLinePunct w:val="0"/>
        <w:autoSpaceDE/>
        <w:autoSpaceDN/>
        <w:bidi w:val="0"/>
        <w:adjustRightInd/>
        <w:snapToGrid/>
        <w:spacing w:line="440" w:lineRule="exact"/>
        <w:ind w:left="0" w:leftChars="0" w:right="630" w:rightChars="300" w:firstLine="600" w:firstLineChars="0"/>
        <w:jc w:val="right"/>
        <w:textAlignment w:val="auto"/>
        <w:outlineLvl w:val="9"/>
        <w:rPr>
          <w:rFonts w:hint="eastAsia" w:ascii="仿宋_GB2312" w:hAnsi="Times New Roman" w:eastAsia="仿宋_GB2312" w:cs="仿宋"/>
          <w:color w:val="auto"/>
          <w:sz w:val="32"/>
        </w:rPr>
      </w:pPr>
      <w:r>
        <w:rPr>
          <w:rFonts w:hint="eastAsia" w:ascii="Times New Roman" w:hAnsi="Times New Roman" w:eastAsia="仿宋_GB2312" w:cs="仿宋"/>
          <w:color w:val="auto"/>
          <w:sz w:val="32"/>
          <w:u w:val="none"/>
          <w:lang w:val="en-US" w:eastAsia="zh-CN"/>
        </w:rPr>
        <w:t xml:space="preserve">   </w:t>
      </w:r>
      <w:r>
        <w:rPr>
          <w:rFonts w:hint="eastAsia" w:ascii="Times New Roman" w:hAnsi="Times New Roman" w:eastAsia="仿宋_GB2312" w:cs="仿宋"/>
          <w:color w:val="auto"/>
          <w:sz w:val="32"/>
          <w:u w:val="none"/>
          <w:lang w:eastAsia="zh-CN"/>
        </w:rPr>
        <w:t>柳州市</w:t>
      </w:r>
      <w:r>
        <w:rPr>
          <w:rFonts w:hint="eastAsia" w:ascii="Times New Roman" w:hAnsi="Times New Roman" w:eastAsia="仿宋_GB2312" w:cs="仿宋"/>
          <w:color w:val="auto"/>
          <w:sz w:val="32"/>
          <w:u w:val="none"/>
        </w:rPr>
        <w:t>柳北区市场监督管理局</w:t>
      </w:r>
    </w:p>
    <w:p w14:paraId="614E5DDC">
      <w:pPr>
        <w:keepNext w:val="0"/>
        <w:keepLines w:val="0"/>
        <w:pageBreakBefore w:val="0"/>
        <w:widowControl w:val="0"/>
        <w:kinsoku/>
        <w:wordWrap/>
        <w:overflowPunct/>
        <w:topLinePunct w:val="0"/>
        <w:autoSpaceDE/>
        <w:autoSpaceDN/>
        <w:bidi w:val="0"/>
        <w:adjustRightInd/>
        <w:snapToGrid/>
        <w:spacing w:line="440" w:lineRule="exact"/>
        <w:ind w:left="0" w:leftChars="0" w:right="630" w:rightChars="300" w:firstLine="600" w:firstLineChars="0"/>
        <w:jc w:val="center"/>
        <w:textAlignment w:val="auto"/>
        <w:outlineLvl w:val="9"/>
        <w:rPr>
          <w:rFonts w:hint="eastAsia" w:ascii="仿宋_GB2312" w:hAnsi="Times New Roman" w:eastAsia="仿宋_GB2312" w:cs="仿宋"/>
          <w:color w:val="auto"/>
          <w:sz w:val="32"/>
          <w:u w:val="none"/>
        </w:rPr>
      </w:pPr>
      <w:r>
        <w:rPr>
          <w:rFonts w:hint="eastAsia" w:ascii="仿宋_GB2312" w:hAnsi="Times New Roman" w:eastAsia="仿宋_GB2312" w:cs="仿宋"/>
          <w:color w:val="auto"/>
          <w:sz w:val="32"/>
          <w:u w:val="none"/>
          <w:lang w:val="en-US" w:eastAsia="zh-CN"/>
        </w:rPr>
        <w:t xml:space="preserve">                      </w:t>
      </w:r>
      <w:r>
        <w:rPr>
          <w:rFonts w:hint="eastAsia" w:ascii="仿宋_GB2312" w:hAnsi="Times New Roman" w:eastAsia="仿宋_GB2312" w:cs="仿宋"/>
          <w:color w:val="auto"/>
          <w:sz w:val="32"/>
          <w:u w:val="none"/>
        </w:rPr>
        <w:t>202</w:t>
      </w:r>
      <w:r>
        <w:rPr>
          <w:rFonts w:hint="eastAsia" w:ascii="仿宋_GB2312" w:hAnsi="Times New Roman" w:eastAsia="仿宋_GB2312" w:cs="仿宋"/>
          <w:color w:val="auto"/>
          <w:sz w:val="32"/>
          <w:u w:val="none"/>
          <w:lang w:val="en-US" w:eastAsia="zh-CN"/>
        </w:rPr>
        <w:t>6</w:t>
      </w:r>
      <w:r>
        <w:rPr>
          <w:rFonts w:hint="eastAsia" w:ascii="仿宋_GB2312" w:hAnsi="Times New Roman" w:eastAsia="仿宋_GB2312" w:cs="仿宋"/>
          <w:color w:val="auto"/>
          <w:sz w:val="32"/>
          <w:u w:val="none"/>
        </w:rPr>
        <w:t>年</w:t>
      </w:r>
      <w:r>
        <w:rPr>
          <w:rFonts w:hint="eastAsia" w:ascii="仿宋_GB2312" w:hAnsi="Times New Roman" w:eastAsia="仿宋_GB2312" w:cs="仿宋"/>
          <w:color w:val="auto"/>
          <w:sz w:val="32"/>
          <w:u w:val="none"/>
          <w:lang w:val="en-US" w:eastAsia="zh-CN"/>
        </w:rPr>
        <w:t>7</w:t>
      </w:r>
      <w:r>
        <w:rPr>
          <w:rFonts w:hint="eastAsia" w:ascii="仿宋_GB2312" w:hAnsi="Times New Roman" w:eastAsia="仿宋_GB2312" w:cs="仿宋"/>
          <w:color w:val="auto"/>
          <w:sz w:val="32"/>
          <w:u w:val="none"/>
        </w:rPr>
        <w:t>月</w:t>
      </w:r>
      <w:r>
        <w:rPr>
          <w:rFonts w:hint="eastAsia" w:ascii="仿宋_GB2312" w:hAnsi="Times New Roman" w:eastAsia="仿宋_GB2312" w:cs="仿宋"/>
          <w:color w:val="auto"/>
          <w:sz w:val="32"/>
          <w:u w:val="none"/>
          <w:lang w:val="en-US" w:eastAsia="zh-CN"/>
        </w:rPr>
        <w:t>8</w:t>
      </w:r>
      <w:r>
        <w:rPr>
          <w:rFonts w:hint="eastAsia" w:ascii="仿宋_GB2312" w:hAnsi="Times New Roman" w:eastAsia="仿宋_GB2312" w:cs="仿宋"/>
          <w:color w:val="auto"/>
          <w:sz w:val="32"/>
          <w:u w:val="none"/>
        </w:rPr>
        <w:t>日</w:t>
      </w:r>
      <w:bookmarkEnd w:id="3"/>
    </w:p>
    <w:p w14:paraId="723C6A05">
      <w:pPr>
        <w:pStyle w:val="2"/>
        <w:rPr>
          <w:rFonts w:hint="eastAsia"/>
          <w:color w:val="auto"/>
        </w:rPr>
      </w:pPr>
    </w:p>
    <w:p w14:paraId="75F23C74">
      <w:pPr>
        <w:pStyle w:val="2"/>
        <w:rPr>
          <w:rFonts w:hint="eastAsia"/>
          <w:color w:val="auto"/>
        </w:rPr>
      </w:pPr>
    </w:p>
    <w:p w14:paraId="61769E72">
      <w:pPr>
        <w:pStyle w:val="2"/>
        <w:rPr>
          <w:rFonts w:hint="eastAsia"/>
          <w:color w:val="auto"/>
        </w:rPr>
      </w:pPr>
    </w:p>
    <w:p w14:paraId="0C87B4E0">
      <w:pPr>
        <w:pStyle w:val="2"/>
        <w:rPr>
          <w:rFonts w:hint="eastAsia"/>
          <w:color w:val="auto"/>
        </w:rPr>
      </w:pPr>
    </w:p>
    <w:p w14:paraId="326B12B9">
      <w:pPr>
        <w:pStyle w:val="2"/>
        <w:rPr>
          <w:rFonts w:hint="eastAsia"/>
          <w:color w:val="auto"/>
        </w:rPr>
      </w:pPr>
    </w:p>
    <w:p w14:paraId="18589E23">
      <w:pPr>
        <w:pStyle w:val="2"/>
        <w:rPr>
          <w:rFonts w:hint="eastAsia"/>
          <w:color w:val="auto"/>
        </w:rPr>
      </w:pPr>
    </w:p>
    <w:p w14:paraId="33618431">
      <w:pPr>
        <w:pStyle w:val="2"/>
        <w:rPr>
          <w:rFonts w:hint="eastAsia"/>
          <w:color w:val="auto"/>
        </w:rPr>
      </w:pPr>
    </w:p>
    <w:p w14:paraId="3A3B7161">
      <w:pPr>
        <w:pStyle w:val="2"/>
        <w:rPr>
          <w:rFonts w:hint="eastAsia"/>
          <w:color w:val="auto"/>
        </w:rPr>
      </w:pPr>
    </w:p>
    <w:p w14:paraId="7CEB9862">
      <w:pPr>
        <w:pStyle w:val="2"/>
        <w:rPr>
          <w:rFonts w:hint="eastAsia"/>
          <w:color w:val="auto"/>
        </w:rPr>
      </w:pPr>
    </w:p>
    <w:p w14:paraId="7A2543B8">
      <w:pPr>
        <w:pStyle w:val="2"/>
        <w:rPr>
          <w:rFonts w:hint="eastAsia"/>
          <w:color w:val="auto"/>
        </w:rPr>
      </w:pPr>
    </w:p>
    <w:p w14:paraId="751FAA5E">
      <w:pPr>
        <w:pStyle w:val="2"/>
        <w:rPr>
          <w:rFonts w:hint="eastAsia"/>
          <w:color w:val="auto"/>
        </w:rPr>
      </w:pPr>
    </w:p>
    <w:p w14:paraId="1E89F5EA">
      <w:pPr>
        <w:pStyle w:val="4"/>
        <w:keepNext w:val="0"/>
        <w:keepLines w:val="0"/>
        <w:pageBreakBefore w:val="0"/>
        <w:widowControl w:val="0"/>
        <w:kinsoku/>
        <w:wordWrap/>
        <w:overflowPunct/>
        <w:topLinePunct w:val="0"/>
        <w:bidi w:val="0"/>
        <w:snapToGrid/>
        <w:spacing w:before="1" w:line="500" w:lineRule="exact"/>
        <w:ind w:left="163"/>
        <w:textAlignment w:val="auto"/>
        <w:rPr>
          <w:rFonts w:ascii="Times New Roman" w:hAnsi="Times New Roman" w:eastAsia="仿宋_GB2312" w:cs="仿宋"/>
          <w:bCs/>
          <w:color w:val="auto"/>
          <w:sz w:val="44"/>
          <w:szCs w:val="44"/>
        </w:rPr>
      </w:pPr>
      <w:r>
        <w:rPr>
          <w:rFonts w:ascii="Times New Roman" w:hAnsi="Times New Roman" w:eastAsia="仿宋_GB2312"/>
          <w:color w:val="auto"/>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auto"/>
          <w:spacing w:val="-16"/>
          <w:u w:val="none"/>
        </w:rPr>
        <w:t>（市场监督管理部门将依法向社会公开行政处罚决定信息）</w:t>
      </w:r>
    </w:p>
    <w:p w14:paraId="75F37B83">
      <w:pPr>
        <w:keepNext w:val="0"/>
        <w:keepLines w:val="0"/>
        <w:pageBreakBefore w:val="0"/>
        <w:widowControl w:val="0"/>
        <w:kinsoku/>
        <w:wordWrap/>
        <w:overflowPunct/>
        <w:topLinePunct w:val="0"/>
        <w:bidi w:val="0"/>
        <w:snapToGrid/>
        <w:spacing w:line="500" w:lineRule="exact"/>
        <w:textAlignment w:val="auto"/>
        <w:rPr>
          <w:color w:val="auto"/>
          <w:sz w:val="30"/>
          <w:szCs w:val="30"/>
        </w:rPr>
      </w:pPr>
      <w:r>
        <w:rPr>
          <w:rFonts w:hint="eastAsia" w:ascii="仿宋_GB2312" w:hAnsi="仿宋_GB2312" w:eastAsia="仿宋_GB2312" w:cs="仿宋_GB2312"/>
          <w:bCs/>
          <w:color w:val="auto"/>
          <w:sz w:val="30"/>
          <w:szCs w:val="30"/>
          <w:u w:val="none"/>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color w:val="auto"/>
          <w:sz w:val="30"/>
          <w:szCs w:val="30"/>
          <w:u w:val="none"/>
          <w:lang w:val="en-US" w:eastAsia="zh-CN"/>
        </w:rPr>
        <w:t>本文书一式三份，一份份送达，一份归档，一份办案单位留存</w:t>
      </w:r>
      <w:r>
        <w:rPr>
          <w:rFonts w:hint="eastAsia" w:ascii="Times New Roman" w:hAnsi="Times New Roman" w:eastAsia="仿宋_GB2312" w:cs="仿宋"/>
          <w:color w:val="auto"/>
          <w:sz w:val="30"/>
          <w:szCs w:val="30"/>
          <w:u w:val="none"/>
        </w:rPr>
        <w:t>。</w:t>
      </w:r>
    </w:p>
    <w:sectPr>
      <w:footerReference r:id="rId3" w:type="default"/>
      <w:pgSz w:w="11906" w:h="16838"/>
      <w:pgMar w:top="1134" w:right="1417" w:bottom="113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F8CD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11BD7">
                          <w:pPr>
                            <w:pStyle w:val="5"/>
                            <w:rPr>
                              <w:rFonts w:hint="eastAsia" w:ascii="宋体" w:hAnsi="宋体" w:eastAsia="宋体" w:cs="宋体"/>
                              <w:sz w:val="18"/>
                              <w:szCs w:val="18"/>
                            </w:rPr>
                          </w:pPr>
                          <w:r>
                            <w:rPr>
                              <w:rFonts w:hint="eastAsia" w:ascii="宋体" w:hAnsi="宋体" w:eastAsia="宋体" w:cs="宋体"/>
                              <w:sz w:val="18"/>
                              <w:szCs w:val="18"/>
                            </w:rPr>
                            <w:t xml:space="preserve">第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 共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NUMPAGES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2</w:t>
                          </w:r>
                          <w:r>
                            <w:rPr>
                              <w:rFonts w:hint="eastAsia" w:ascii="宋体" w:hAnsi="宋体" w:eastAsia="宋体" w:cs="宋体"/>
                              <w:sz w:val="18"/>
                              <w:szCs w:val="18"/>
                            </w:rPr>
                            <w:fldChar w:fldCharType="end"/>
                          </w:r>
                          <w:r>
                            <w:rPr>
                              <w:rFonts w:hint="eastAsia" w:ascii="宋体" w:hAnsi="宋体" w:eastAsia="宋体" w:cs="宋体"/>
                              <w:sz w:val="18"/>
                              <w:szCs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E11BD7">
                    <w:pPr>
                      <w:pStyle w:val="5"/>
                      <w:rPr>
                        <w:rFonts w:hint="eastAsia" w:ascii="宋体" w:hAnsi="宋体" w:eastAsia="宋体" w:cs="宋体"/>
                        <w:sz w:val="18"/>
                        <w:szCs w:val="18"/>
                      </w:rPr>
                    </w:pPr>
                    <w:r>
                      <w:rPr>
                        <w:rFonts w:hint="eastAsia" w:ascii="宋体" w:hAnsi="宋体" w:eastAsia="宋体" w:cs="宋体"/>
                        <w:sz w:val="18"/>
                        <w:szCs w:val="18"/>
                      </w:rPr>
                      <w:t xml:space="preserve">第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 共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NUMPAGES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2</w:t>
                    </w:r>
                    <w:r>
                      <w:rPr>
                        <w:rFonts w:hint="eastAsia" w:ascii="宋体" w:hAnsi="宋体" w:eastAsia="宋体" w:cs="宋体"/>
                        <w:sz w:val="18"/>
                        <w:szCs w:val="18"/>
                      </w:rPr>
                      <w:fldChar w:fldCharType="end"/>
                    </w:r>
                    <w:r>
                      <w:rPr>
                        <w:rFonts w:hint="eastAsia" w:ascii="宋体" w:hAnsi="宋体" w:eastAsia="宋体" w:cs="宋体"/>
                        <w:sz w:val="18"/>
                        <w:szCs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mI1NmM0NTFmZTU5ZDUyNjZiMTM4MjRlMDJmYTcifQ=="/>
  </w:docVars>
  <w:rsids>
    <w:rsidRoot w:val="5BA419F7"/>
    <w:rsid w:val="00193C35"/>
    <w:rsid w:val="0032134F"/>
    <w:rsid w:val="02627A94"/>
    <w:rsid w:val="02B83402"/>
    <w:rsid w:val="04CD463F"/>
    <w:rsid w:val="04FA4431"/>
    <w:rsid w:val="062E1218"/>
    <w:rsid w:val="06BAE61F"/>
    <w:rsid w:val="071C7669"/>
    <w:rsid w:val="0776795A"/>
    <w:rsid w:val="08365B64"/>
    <w:rsid w:val="08F23066"/>
    <w:rsid w:val="0A0311E7"/>
    <w:rsid w:val="0A0A3406"/>
    <w:rsid w:val="0A482EEB"/>
    <w:rsid w:val="0AA44133"/>
    <w:rsid w:val="0B22091D"/>
    <w:rsid w:val="0BFC1F64"/>
    <w:rsid w:val="0CF71776"/>
    <w:rsid w:val="0D177805"/>
    <w:rsid w:val="0FD53E86"/>
    <w:rsid w:val="0FFFE86C"/>
    <w:rsid w:val="10010A6F"/>
    <w:rsid w:val="103E22C5"/>
    <w:rsid w:val="1350279A"/>
    <w:rsid w:val="14203063"/>
    <w:rsid w:val="143E1E38"/>
    <w:rsid w:val="152E563E"/>
    <w:rsid w:val="159A07FF"/>
    <w:rsid w:val="15B93156"/>
    <w:rsid w:val="17982843"/>
    <w:rsid w:val="17B865FB"/>
    <w:rsid w:val="17FE5A6A"/>
    <w:rsid w:val="18325353"/>
    <w:rsid w:val="18B229B2"/>
    <w:rsid w:val="1973255B"/>
    <w:rsid w:val="19FE4517"/>
    <w:rsid w:val="1B163BB6"/>
    <w:rsid w:val="1BC65F68"/>
    <w:rsid w:val="1E2525B5"/>
    <w:rsid w:val="1F2B5D07"/>
    <w:rsid w:val="1FD31F15"/>
    <w:rsid w:val="20327BDE"/>
    <w:rsid w:val="212A5BF7"/>
    <w:rsid w:val="216B3E44"/>
    <w:rsid w:val="21D20555"/>
    <w:rsid w:val="237D0B06"/>
    <w:rsid w:val="24006373"/>
    <w:rsid w:val="24626694"/>
    <w:rsid w:val="24E75A37"/>
    <w:rsid w:val="25850F5F"/>
    <w:rsid w:val="258D6CE0"/>
    <w:rsid w:val="2A9F8649"/>
    <w:rsid w:val="2AE934B9"/>
    <w:rsid w:val="2B1B3EFC"/>
    <w:rsid w:val="2CEA3815"/>
    <w:rsid w:val="2D216218"/>
    <w:rsid w:val="2DE10173"/>
    <w:rsid w:val="2EEA44C2"/>
    <w:rsid w:val="2F327E79"/>
    <w:rsid w:val="2F7CE1EF"/>
    <w:rsid w:val="2FE8594F"/>
    <w:rsid w:val="30203302"/>
    <w:rsid w:val="30DB5683"/>
    <w:rsid w:val="31D13A2C"/>
    <w:rsid w:val="3585615B"/>
    <w:rsid w:val="368E5656"/>
    <w:rsid w:val="377FBB27"/>
    <w:rsid w:val="37F16547"/>
    <w:rsid w:val="384B03E9"/>
    <w:rsid w:val="38A528A2"/>
    <w:rsid w:val="38B63DA7"/>
    <w:rsid w:val="3A4E178D"/>
    <w:rsid w:val="3BF97ECA"/>
    <w:rsid w:val="3C2965F0"/>
    <w:rsid w:val="3F2604DF"/>
    <w:rsid w:val="3F6783E4"/>
    <w:rsid w:val="3F8E13F7"/>
    <w:rsid w:val="3FFF82D4"/>
    <w:rsid w:val="4015092F"/>
    <w:rsid w:val="402E7C06"/>
    <w:rsid w:val="40FE5F8F"/>
    <w:rsid w:val="425049CE"/>
    <w:rsid w:val="44A57709"/>
    <w:rsid w:val="44CA2EEC"/>
    <w:rsid w:val="45D97826"/>
    <w:rsid w:val="48C10000"/>
    <w:rsid w:val="48D92391"/>
    <w:rsid w:val="496C376C"/>
    <w:rsid w:val="49C05EDD"/>
    <w:rsid w:val="4AE96ACE"/>
    <w:rsid w:val="4B0A02C2"/>
    <w:rsid w:val="4B3F2B00"/>
    <w:rsid w:val="4BBE3774"/>
    <w:rsid w:val="4C02380F"/>
    <w:rsid w:val="4CC8271B"/>
    <w:rsid w:val="4DCF5FFB"/>
    <w:rsid w:val="4F396FE1"/>
    <w:rsid w:val="552A59CF"/>
    <w:rsid w:val="566E2FB6"/>
    <w:rsid w:val="57503162"/>
    <w:rsid w:val="58025EF8"/>
    <w:rsid w:val="58702637"/>
    <w:rsid w:val="591F0542"/>
    <w:rsid w:val="592C35DC"/>
    <w:rsid w:val="5AF92E81"/>
    <w:rsid w:val="5BA419F7"/>
    <w:rsid w:val="5BF91583"/>
    <w:rsid w:val="5BFB2E57"/>
    <w:rsid w:val="5DD7483B"/>
    <w:rsid w:val="5E5FAB03"/>
    <w:rsid w:val="5E9C04E7"/>
    <w:rsid w:val="5F9FEDD5"/>
    <w:rsid w:val="5FBEF003"/>
    <w:rsid w:val="5FE33914"/>
    <w:rsid w:val="5FFA4D85"/>
    <w:rsid w:val="602422E6"/>
    <w:rsid w:val="6043407E"/>
    <w:rsid w:val="61001EB2"/>
    <w:rsid w:val="612E7E8C"/>
    <w:rsid w:val="64E43803"/>
    <w:rsid w:val="6AD7030F"/>
    <w:rsid w:val="6BBE14D1"/>
    <w:rsid w:val="6BCC1BB9"/>
    <w:rsid w:val="6D923254"/>
    <w:rsid w:val="6DEF4C69"/>
    <w:rsid w:val="6DF026EB"/>
    <w:rsid w:val="6E04767D"/>
    <w:rsid w:val="6E6950E9"/>
    <w:rsid w:val="6F732ABB"/>
    <w:rsid w:val="6FF58B64"/>
    <w:rsid w:val="6FF8F863"/>
    <w:rsid w:val="70CF02CA"/>
    <w:rsid w:val="71013020"/>
    <w:rsid w:val="72E90C14"/>
    <w:rsid w:val="7376089F"/>
    <w:rsid w:val="75B2DA43"/>
    <w:rsid w:val="75BD90DB"/>
    <w:rsid w:val="77C45C0E"/>
    <w:rsid w:val="77DF8BD4"/>
    <w:rsid w:val="77EFD5CC"/>
    <w:rsid w:val="77FFADAC"/>
    <w:rsid w:val="7874060E"/>
    <w:rsid w:val="79E72D0B"/>
    <w:rsid w:val="79EF002E"/>
    <w:rsid w:val="7BFD6076"/>
    <w:rsid w:val="7C8E43D6"/>
    <w:rsid w:val="7CFA516B"/>
    <w:rsid w:val="7DA813EB"/>
    <w:rsid w:val="7DFF108F"/>
    <w:rsid w:val="7E2146A1"/>
    <w:rsid w:val="7E6C6CF7"/>
    <w:rsid w:val="7EED8AE6"/>
    <w:rsid w:val="7F0365CC"/>
    <w:rsid w:val="7F161DFC"/>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1875</Words>
  <Characters>1992</Characters>
  <Lines>0</Lines>
  <Paragraphs>0</Paragraphs>
  <TotalTime>0</TotalTime>
  <ScaleCrop>false</ScaleCrop>
  <LinksUpToDate>false</LinksUpToDate>
  <CharactersWithSpaces>2032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河谷镇</cp:lastModifiedBy>
  <dcterms:modified xsi:type="dcterms:W3CDTF">2026-07-07T08:18:11Z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526F4C53292B48849053E71A59849707</vt:lpwstr>
  </property>
  <property fmtid="{D5CDD505-2E9C-101B-9397-08002B2CF9AE}" pid="4" name="KSOTemplateDocerSaveRecord">
    <vt:lpwstr>eyJoZGlkIjoiYzQ3NTRmMDQyNWIzMTlmZjRjMDY2YzA4MTcyOWY3MjAiLCJ1c2VySWQiOiI0OTg3NTAzNTcifQ==</vt:lpwstr>
  </property>
</Properties>
</file>