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54D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柳州市柳北区市场监督管理局</w:t>
      </w:r>
    </w:p>
    <w:p w14:paraId="1B7198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行政处罚决定书</w:t>
      </w:r>
    </w:p>
    <w:p w14:paraId="33CBAB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柳北市监</w:t>
      </w:r>
      <w:r>
        <w:rPr>
          <w:rFonts w:hint="eastAsia" w:ascii="仿宋_GB2312" w:hAnsi="仿宋_GB2312" w:eastAsia="仿宋_GB2312" w:cs="仿宋_GB2312"/>
          <w:sz w:val="32"/>
          <w:szCs w:val="32"/>
          <w:lang w:eastAsia="zh-CN"/>
        </w:rPr>
        <w:t>处罚</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39</w:t>
      </w:r>
      <w:r>
        <w:rPr>
          <w:rFonts w:hint="eastAsia" w:ascii="仿宋_GB2312" w:hAnsi="仿宋_GB2312" w:eastAsia="仿宋_GB2312" w:cs="仿宋_GB2312"/>
          <w:sz w:val="32"/>
          <w:szCs w:val="32"/>
          <w:highlight w:val="none"/>
        </w:rPr>
        <w:t>号</w:t>
      </w:r>
    </w:p>
    <w:p w14:paraId="519B4BFD">
      <w:pPr>
        <w:keepNext w:val="0"/>
        <w:keepLines w:val="0"/>
        <w:pageBreakBefore w:val="0"/>
        <w:kinsoku/>
        <w:wordWrap/>
        <w:overflowPunct/>
        <w:topLinePunct w:val="0"/>
        <w:bidi w:val="0"/>
        <w:adjustRightInd w:val="0"/>
        <w:snapToGrid/>
        <w:spacing w:line="500" w:lineRule="exact"/>
        <w:ind w:left="0" w:leftChars="0" w:right="233" w:rightChars="111"/>
        <w:textAlignment w:val="baseline"/>
        <w:rPr>
          <w:rFonts w:hint="eastAsia" w:ascii="仿宋_GB2312" w:hAnsi="仿宋_GB2312" w:eastAsia="仿宋_GB2312" w:cs="仿宋_GB2312"/>
          <w:sz w:val="32"/>
          <w:szCs w:val="32"/>
        </w:rPr>
      </w:pPr>
    </w:p>
    <w:p w14:paraId="72BF5C69">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当事人：</w:t>
      </w:r>
      <w:r>
        <w:rPr>
          <w:rFonts w:hint="eastAsia" w:ascii="仿宋_GB2312" w:hAnsi="仿宋_GB2312" w:eastAsia="仿宋_GB2312" w:cs="仿宋_GB2312"/>
          <w:color w:val="auto"/>
          <w:sz w:val="32"/>
          <w:szCs w:val="32"/>
          <w:u w:val="none"/>
          <w:lang w:val="en-US" w:eastAsia="zh-CN"/>
        </w:rPr>
        <w:t>柳州市柳北区刘氏酸制品加工部</w:t>
      </w:r>
    </w:p>
    <w:p w14:paraId="13704328">
      <w:pPr>
        <w:pStyle w:val="7"/>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主体资格证照名称：营业执照</w:t>
      </w:r>
    </w:p>
    <w:p w14:paraId="0BF0F132">
      <w:pPr>
        <w:pStyle w:val="7"/>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统一社会信用代码：</w:t>
      </w:r>
      <w:r>
        <w:rPr>
          <w:rFonts w:hint="eastAsia" w:ascii="仿宋_GB2312" w:hAnsi="仿宋_GB2312" w:eastAsia="仿宋_GB2312" w:cs="仿宋_GB2312"/>
          <w:color w:val="auto"/>
          <w:sz w:val="32"/>
          <w:szCs w:val="32"/>
          <w:u w:val="none"/>
          <w:lang w:val="en-US" w:eastAsia="zh-CN"/>
        </w:rPr>
        <w:t>92450205MA5P4Q3E5B</w:t>
      </w:r>
    </w:p>
    <w:p w14:paraId="694B2379">
      <w:pPr>
        <w:pStyle w:val="7"/>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 xml:space="preserve">经营场所: </w:t>
      </w:r>
      <w:r>
        <w:rPr>
          <w:rFonts w:hint="eastAsia" w:ascii="仿宋_GB2312" w:hAnsi="仿宋_GB2312" w:eastAsia="仿宋_GB2312" w:cs="仿宋_GB2312"/>
          <w:color w:val="auto"/>
          <w:sz w:val="32"/>
          <w:szCs w:val="32"/>
          <w:u w:val="none"/>
          <w:lang w:val="en-US" w:eastAsia="zh-CN"/>
        </w:rPr>
        <w:t>柳州市柳北区长塘镇黄土村上村屯25号门前二十米葛永忠房屋内</w:t>
      </w:r>
    </w:p>
    <w:p w14:paraId="346908CA">
      <w:pPr>
        <w:pStyle w:val="7"/>
        <w:keepNext w:val="0"/>
        <w:keepLines w:val="0"/>
        <w:pageBreakBefore w:val="0"/>
        <w:widowControl w:val="0"/>
        <w:kinsoku/>
        <w:wordWrap/>
        <w:overflowPunct/>
        <w:topLinePunct w:val="0"/>
        <w:bidi w:val="0"/>
        <w:spacing w:line="500" w:lineRule="exact"/>
        <w:ind w:left="0" w:leftChars="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经营者：刘阳广 </w:t>
      </w:r>
    </w:p>
    <w:p w14:paraId="74D20E74">
      <w:pPr>
        <w:keepNext w:val="0"/>
        <w:keepLines w:val="0"/>
        <w:pageBreakBefore w:val="0"/>
        <w:widowControl w:val="0"/>
        <w:kinsoku/>
        <w:wordWrap/>
        <w:overflowPunct/>
        <w:topLinePunct w:val="0"/>
        <w:autoSpaceDE/>
        <w:autoSpaceDN/>
        <w:bidi w:val="0"/>
        <w:adjustRightInd w:val="0"/>
        <w:snapToGrid/>
        <w:spacing w:line="500" w:lineRule="exact"/>
        <w:ind w:left="0" w:leftChars="0" w:right="233" w:rightChars="111"/>
        <w:textAlignment w:val="baseline"/>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身份证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号码：</w:t>
      </w:r>
      <w:r>
        <w:rPr>
          <w:rFonts w:hint="eastAsia" w:ascii="仿宋_GB2312" w:hAnsi="仿宋_GB2312" w:eastAsia="仿宋_GB2312" w:cs="仿宋_GB2312"/>
          <w:color w:val="auto"/>
          <w:sz w:val="32"/>
          <w:szCs w:val="32"/>
          <w:u w:val="none"/>
          <w:lang w:val="en-US" w:eastAsia="zh-CN"/>
        </w:rPr>
        <w:t>*</w:t>
      </w:r>
    </w:p>
    <w:p w14:paraId="62CDAAA8">
      <w:pPr>
        <w:pStyle w:val="7"/>
        <w:keepNext w:val="0"/>
        <w:keepLines w:val="0"/>
        <w:pageBreakBefore w:val="0"/>
        <w:widowControl w:val="0"/>
        <w:kinsoku/>
        <w:wordWrap/>
        <w:overflowPunct/>
        <w:topLinePunct w:val="0"/>
        <w:bidi w:val="0"/>
        <w:snapToGrid/>
        <w:spacing w:line="500" w:lineRule="exact"/>
        <w:ind w:left="0" w:leftChars="0"/>
        <w:rPr>
          <w:rFonts w:hint="eastAsia" w:ascii="仿宋_GB2312" w:hAnsi="仿宋_GB2312" w:eastAsia="仿宋_GB2312" w:cs="仿宋_GB2312"/>
          <w:color w:val="auto"/>
          <w:sz w:val="32"/>
          <w:szCs w:val="32"/>
          <w:lang w:val="en-US" w:eastAsia="zh-CN"/>
        </w:rPr>
      </w:pPr>
    </w:p>
    <w:p w14:paraId="5CEE2F3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2025年12月5日，我局收到柳州市柳江区市场监督管理局移送的违法线索，其中编号No:BCSP25060005-833的《检验报告》：抽样日期为2025-10-9的散称酸长豇豆，经抽样检验，二氧化硫残留量项目不符合GB 2760-2024《食品安全国家标准 食品添加剂使用标准》要求，检验结论为不合格。涉案不合格“散称酸长豇豆”的供货源头为柳州市柳北区刘氏酸制品加工部（经营场所地址：柳州市柳北区长塘镇黄土村上村屯25号门前二十米葛永忠房屋内）。2025年10月28日谱尼测试集团广西有限公司对柳州市柳北区花语食品经营部2025年9月2日购进的“酸豆角”进行抽样送检，并于2025年11月27日出具了编号为No:C9FA31012C9F6027061的《检验报告》,检验结论为不合格。涉案不合格“酸豆角”的供货源头为柳州市柳北区刘氏酸制品加工部（经营场所地址：柳州市柳北区长塘镇黄土村上村屯25号门前二十米葛永忠房屋内），我局执法人员对当事人经营场所进行现场检查，经检查当事人上述检验不合格批次的散称酸长豇豆和酸豆角已无在售及库存。当事人在法定期限内未提出复检申请。</w:t>
      </w:r>
    </w:p>
    <w:p w14:paraId="1DC0BD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我局于2025年12月16日对当事人涉嫌生产经营超限量使用食品添加剂的食品的行为进行立案调查。</w:t>
      </w:r>
    </w:p>
    <w:p w14:paraId="2EC37A5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查实，当事人生产了17.5Kg的散称酸长豇豆销售给柳州市柳江区余兰香食品铺，销售价为*元/Kg，柳州市柳江区余兰香食品铺2025年10月9日将上述酸长豇豆销售给周秀娟，广西博测检测技术服务有限公司对周秀娟销售的上述酸长豇豆抽样检验，检验结论：经抽样检验，二氧化硫残留量项目不符合GB 2760-2024《食品安全国家标准 食品添加剂使用标准》要求，检验结论为不合格。当事人生产了20Kg的酸豆角于2025年9月2日销售给柳州市柳北区花语食品经营部，销售价为*</w:t>
      </w:r>
      <w:bookmarkStart w:id="0" w:name="_GoBack"/>
      <w:bookmarkEnd w:id="0"/>
      <w:r>
        <w:rPr>
          <w:rFonts w:hint="eastAsia" w:ascii="仿宋_GB2312" w:hAnsi="仿宋_GB2312" w:eastAsia="仿宋_GB2312" w:cs="仿宋_GB2312"/>
          <w:color w:val="auto"/>
          <w:sz w:val="32"/>
          <w:szCs w:val="32"/>
          <w:lang w:val="en-US" w:eastAsia="zh-CN"/>
        </w:rPr>
        <w:t>元/Kg，谱尼测试集团广西有限公司对柳州市柳北区花语食品经营部销售的上述酸豆角抽样检验，检验结论：经抽样检验，二氧化硫残留量项目不符合GB 2760-2024《食品安全国家标准 食品添加剂使用标准》要求，检验结论为不合格。上述酸长豇豆和酸豆角货值金额共计202.5元，营业性收入共计202.5元。</w:t>
      </w:r>
    </w:p>
    <w:p w14:paraId="2718939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当事人在采购上述食品的生产加工原辅材料时未查验供货商资质证明材料、产品合格证明和未建立进货台账，销售上述食品时未建立销售台账。</w:t>
      </w:r>
    </w:p>
    <w:p w14:paraId="103D7C2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上述事实，主要有以下证据证明：</w:t>
      </w:r>
    </w:p>
    <w:p w14:paraId="3537DC8B">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1.当事人的《营业执照》复印件1份、《广西壮族自治区食品小作坊登记证》复印件1份、经营者身份证、受委托人身份证复印件各1份，授权委托书1份，证明当事人的主体资格、经营者的身份信息。</w:t>
      </w:r>
    </w:p>
    <w:p w14:paraId="782EE1A1">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2.对当事人的《现场笔录》1份，询问笔录2份，证明当事人存在生产经营二氧化硫残留量项目不符合GB 2760-2024《食品安全国家标准 食品添加剂使用标准》要求的散称酸长豇豆及酸豆角的事实，及当事人采购上述食品的生产加工原辅材料时未查验供货商资质证明材料、产品合格证明和未建立进货台账，销售上述食品时未建立销售台账的事实</w:t>
      </w:r>
    </w:p>
    <w:p w14:paraId="79376595">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3.对柳州市柳北区花语食品经营部的调查材料：柳州市柳北区花语食品经营部营业执照、广西壮族自治区食品摊贩备案卡、经营者身份证、现场笔录、询问（调查）笔录、检验报告及送达回证、送货单、柳州市柳北区刘氏酸制品加工部营业执照及广西壮族自治区食品小作坊登记证、快检合格证明、食品安全抽样检验结果通知书、食品安全抽样检验抽样单（非食用农产品）、食品安全抽样检验告知书复印件各1份，证明当事人销售给柳州市柳北区花语食品经营部的酸豆角二氧化硫残留量项目不符合GB 2760-2024《食品安全国家标准 食品添加剂使用标准》要求的事实。</w:t>
      </w:r>
    </w:p>
    <w:p w14:paraId="39CEF286">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4.柳州市柳江区市场监督管理局案件移送材料：案件移送函、立案审批表、检验报告、对周秀娟的现场笔录复印件各1份，对柳州市柳江区余兰香食品铺的现场笔录复印件1份，对周秀娟及其相关证明人的询问笔录复印件共3份，证据提取单复印件共17份，当场行政处罚决定书复印件1份，柳州市柳江区余兰香食品铺营业执照、广西壮族自治区食品摊贩备案卡、经营者身份证复印件各1份，</w:t>
      </w:r>
    </w:p>
    <w:p w14:paraId="3C1088E1">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lang w:eastAsia="zh-CN"/>
        </w:rPr>
        <w:t xml:space="preserve">以上证据均由当事人及其相关证明人签名认可。  </w:t>
      </w:r>
      <w:r>
        <w:rPr>
          <w:rFonts w:hint="eastAsia" w:ascii="仿宋_GB2312" w:hAnsi="仿宋_GB2312" w:eastAsia="仿宋_GB2312" w:cs="仿宋_GB2312"/>
          <w:color w:val="auto"/>
          <w:sz w:val="32"/>
          <w:szCs w:val="32"/>
          <w:u w:val="none"/>
        </w:rPr>
        <w:t xml:space="preserve">       </w:t>
      </w:r>
    </w:p>
    <w:p w14:paraId="60EF99A8">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我局于202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2</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lang w:eastAsia="zh-CN"/>
        </w:rPr>
        <w:t>日向当事人送达了《行政处罚告知书》（柳北市监罚告〔202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lang w:eastAsia="zh-CN"/>
        </w:rPr>
        <w:t>号），告知当事人我局拟</w:t>
      </w:r>
      <w:r>
        <w:rPr>
          <w:rFonts w:hint="eastAsia" w:ascii="仿宋_GB2312" w:hAnsi="仿宋_GB2312" w:eastAsia="仿宋_GB2312" w:cs="仿宋_GB2312"/>
          <w:color w:val="auto"/>
          <w:sz w:val="32"/>
          <w:szCs w:val="32"/>
        </w:rPr>
        <w:t>作出</w:t>
      </w:r>
      <w:r>
        <w:rPr>
          <w:rFonts w:hint="eastAsia" w:ascii="仿宋_GB2312" w:hAnsi="仿宋_GB2312" w:eastAsia="仿宋_GB2312" w:cs="仿宋_GB2312"/>
          <w:color w:val="auto"/>
          <w:sz w:val="32"/>
          <w:szCs w:val="32"/>
          <w:u w:val="none"/>
          <w:lang w:eastAsia="zh-CN"/>
        </w:rPr>
        <w:t xml:space="preserve">行政处罚的事实、理由、依据、处罚内容及享有的权利。当事人在法定期限内未提出陈述、申辩。   </w:t>
      </w:r>
    </w:p>
    <w:p w14:paraId="2D0DED58">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当事人采购上述食品的生产加工原辅材料时未查验供货商资质证明材料、产品合格证明的行为，违反了《中华人民共和国食品安全法》第五十条第一款的规定，属于未按规定履行进货查验义务的行为，构成《广西壮族自治区食品小作坊小餐饮和食品摊贩管理条例》第十三条第一款第八项规定的违法行为。 </w:t>
      </w:r>
    </w:p>
    <w:p w14:paraId="2C82E81B">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采购上述食品的生产加工原辅材料时未建立进货台账、销售上述食品时未建立销售台账的行为，违反了《广西壮族自治区食品小作坊小餐饮和食品摊贩管理条例》第十三条第二款的规定，属于未按规定建立进货、销售台账的行为。</w:t>
      </w:r>
    </w:p>
    <w:p w14:paraId="19F4F874">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生产经营上述食品的行为，违反了《广西壮族自治区食品小作坊小餐饮和食品摊贩管理条例》第十五条第一款第三项的规定，属于生产经营超限量使用食品添加剂的食品的行为。本案货值金额共计202.5元，违法所得202.5元。</w:t>
      </w:r>
    </w:p>
    <w:p w14:paraId="39AB9E82">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当事人在案件调查过程中积极配合我局调查，如实陈述违法事实并主动提供相关证据材料，具有市场监管总局《关于规范市场监督管理行政处罚裁量权的指导意见》第十四条第一款第二项规定的可以依法从轻或者减轻行政处罚的情形，依据《中华人民共和国行政处罚法》第五条、第六条的规定，我局决定对当事人从轻行政处罚。</w:t>
      </w:r>
    </w:p>
    <w:p w14:paraId="4E81E01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w:t>
      </w:r>
      <w:r>
        <w:rPr>
          <w:rFonts w:hint="eastAsia" w:ascii="仿宋_GB2312" w:hAnsi="仿宋_GB2312" w:eastAsia="仿宋_GB2312" w:cs="仿宋_GB2312"/>
          <w:color w:val="auto"/>
          <w:sz w:val="32"/>
          <w:szCs w:val="32"/>
        </w:rPr>
        <w:t>未按规定履行进货查验义务的行为</w:t>
      </w:r>
      <w:r>
        <w:rPr>
          <w:rFonts w:hint="eastAsia" w:ascii="仿宋_GB2312" w:hAnsi="仿宋_GB2312" w:eastAsia="仿宋_GB2312" w:cs="仿宋_GB2312"/>
          <w:color w:val="auto"/>
          <w:sz w:val="32"/>
          <w:szCs w:val="32"/>
          <w:u w:val="none"/>
          <w:lang w:val="en-US" w:eastAsia="zh-CN"/>
        </w:rPr>
        <w:t>，依据《广西壮族自治区食品小作坊小餐饮和食品摊贩管理条例》第三十九条</w:t>
      </w:r>
      <w:r>
        <w:rPr>
          <w:rFonts w:hint="eastAsia" w:ascii="仿宋_GB2312" w:hAnsi="仿宋_GB2312" w:eastAsia="仿宋_GB2312" w:cs="仿宋_GB2312"/>
          <w:color w:val="auto"/>
          <w:sz w:val="32"/>
          <w:szCs w:val="32"/>
          <w:u w:val="none"/>
          <w:lang w:eastAsia="zh-CN"/>
        </w:rPr>
        <w:t>第一款</w:t>
      </w:r>
      <w:r>
        <w:rPr>
          <w:rFonts w:hint="eastAsia" w:ascii="仿宋_GB2312" w:hAnsi="仿宋_GB2312" w:eastAsia="仿宋_GB2312" w:cs="仿宋_GB2312"/>
          <w:color w:val="auto"/>
          <w:sz w:val="32"/>
          <w:szCs w:val="32"/>
          <w:u w:val="none"/>
          <w:lang w:val="en-US" w:eastAsia="zh-CN"/>
        </w:rPr>
        <w:t xml:space="preserve">第三项的规定，我局决定责令当事人立即改正该违法行为，并给予警告的行政处罚。 </w:t>
      </w:r>
    </w:p>
    <w:p w14:paraId="31FF7BEC">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对于当事人未按规定建立进货、</w:t>
      </w:r>
      <w:r>
        <w:rPr>
          <w:rFonts w:hint="eastAsia" w:ascii="仿宋_GB2312" w:hAnsi="仿宋_GB2312" w:eastAsia="仿宋_GB2312" w:cs="仿宋_GB2312"/>
          <w:color w:val="auto"/>
          <w:sz w:val="32"/>
          <w:szCs w:val="32"/>
          <w:u w:val="none"/>
          <w:lang w:eastAsia="zh-CN"/>
        </w:rPr>
        <w:t>销售台账</w:t>
      </w:r>
      <w:r>
        <w:rPr>
          <w:rFonts w:hint="eastAsia" w:ascii="仿宋_GB2312" w:hAnsi="仿宋_GB2312" w:eastAsia="仿宋_GB2312" w:cs="仿宋_GB2312"/>
          <w:color w:val="auto"/>
          <w:sz w:val="32"/>
          <w:szCs w:val="32"/>
          <w:u w:val="none"/>
          <w:lang w:val="en-US" w:eastAsia="zh-CN"/>
        </w:rPr>
        <w:t>的行为，依据《广西壮族自治区食品小作坊小餐饮和食品摊贩管理条例》第四十条</w:t>
      </w:r>
      <w:r>
        <w:rPr>
          <w:rFonts w:hint="eastAsia" w:ascii="仿宋_GB2312" w:hAnsi="仿宋_GB2312" w:eastAsia="仿宋_GB2312" w:cs="仿宋_GB2312"/>
          <w:color w:val="auto"/>
          <w:sz w:val="32"/>
          <w:szCs w:val="32"/>
          <w:u w:val="none"/>
          <w:lang w:eastAsia="zh-CN"/>
        </w:rPr>
        <w:t>第一款</w:t>
      </w:r>
      <w:r>
        <w:rPr>
          <w:rFonts w:hint="eastAsia" w:ascii="仿宋_GB2312" w:hAnsi="仿宋_GB2312" w:eastAsia="仿宋_GB2312" w:cs="仿宋_GB2312"/>
          <w:color w:val="auto"/>
          <w:sz w:val="32"/>
          <w:szCs w:val="32"/>
          <w:u w:val="none"/>
          <w:lang w:val="en-US" w:eastAsia="zh-CN"/>
        </w:rPr>
        <w:t>第一项的规定，我局决定责令当事人立即改正该违法行为，并给予警告的行政处罚。</w:t>
      </w:r>
    </w:p>
    <w:p w14:paraId="4FE906D1">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于当事人生产经营超限量使用食品添加剂的食品的行为，依据《中华人民共和国行政处罚法》第二十八条、《广西壮族自治区食品小作坊小餐饮和食品摊贩管理条例》第三十八条的规定，我局决定责令当事人立即改正该违法行为，并给予没收违法所得</w:t>
      </w:r>
      <w:r>
        <w:rPr>
          <w:rFonts w:hint="eastAsia" w:ascii="仿宋_GB2312" w:hAnsi="仿宋_GB2312" w:eastAsia="仿宋_GB2312" w:cs="仿宋_GB2312"/>
          <w:bCs/>
          <w:color w:val="auto"/>
          <w:sz w:val="32"/>
          <w:szCs w:val="32"/>
          <w:highlight w:val="none"/>
          <w:u w:val="none"/>
          <w:lang w:val="en-US" w:eastAsia="zh-CN"/>
        </w:rPr>
        <w:t>202.5</w:t>
      </w:r>
      <w:r>
        <w:rPr>
          <w:rFonts w:hint="eastAsia" w:ascii="仿宋_GB2312" w:hAnsi="仿宋_GB2312" w:eastAsia="仿宋_GB2312" w:cs="仿宋_GB2312"/>
          <w:color w:val="auto"/>
          <w:sz w:val="32"/>
          <w:szCs w:val="32"/>
          <w:u w:val="none"/>
          <w:lang w:val="en-US" w:eastAsia="zh-CN"/>
        </w:rPr>
        <w:t>元、罚款2000元的行政处罚。</w:t>
      </w:r>
    </w:p>
    <w:p w14:paraId="4BBB8356">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综上，我局决定责令当事人立即改正上述违法行为，并给予以下行政处罚：</w:t>
      </w:r>
    </w:p>
    <w:p w14:paraId="000DB620">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1.警告；</w:t>
      </w:r>
    </w:p>
    <w:p w14:paraId="641EC0D4">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2.没收违法所得</w:t>
      </w:r>
      <w:r>
        <w:rPr>
          <w:rFonts w:hint="eastAsia" w:ascii="仿宋_GB2312" w:hAnsi="仿宋_GB2312" w:eastAsia="仿宋_GB2312" w:cs="仿宋_GB2312"/>
          <w:bCs/>
          <w:color w:val="auto"/>
          <w:sz w:val="32"/>
          <w:szCs w:val="32"/>
          <w:highlight w:val="none"/>
          <w:u w:val="none"/>
          <w:lang w:val="en-US" w:eastAsia="zh-CN"/>
        </w:rPr>
        <w:t>202.5</w:t>
      </w:r>
      <w:r>
        <w:rPr>
          <w:rFonts w:hint="eastAsia" w:ascii="仿宋_GB2312" w:hAnsi="仿宋_GB2312" w:eastAsia="仿宋_GB2312" w:cs="仿宋_GB2312"/>
          <w:color w:val="auto"/>
          <w:sz w:val="32"/>
          <w:szCs w:val="32"/>
          <w:u w:val="none"/>
          <w:lang w:val="en-US" w:eastAsia="zh-CN"/>
        </w:rPr>
        <w:t>元；</w:t>
      </w:r>
    </w:p>
    <w:p w14:paraId="277D2001">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3.罚款2000元。    </w:t>
      </w:r>
    </w:p>
    <w:p w14:paraId="6A044F69">
      <w:pPr>
        <w:keepNext w:val="0"/>
        <w:keepLines w:val="0"/>
        <w:pageBreakBefore w:val="0"/>
        <w:kinsoku/>
        <w:wordWrap/>
        <w:overflowPunct/>
        <w:topLinePunct w:val="0"/>
        <w:autoSpaceDE/>
        <w:autoSpaceDN/>
        <w:bidi w:val="0"/>
        <w:snapToGrid/>
        <w:spacing w:line="48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上述罚没款合计2202.5元。</w:t>
      </w:r>
    </w:p>
    <w:p w14:paraId="17739F62">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凭《广西壮族自治区非税收入电子缴款通知书》到中国建设银行缴纳罚没款。逾期不缴纳罚款的，依据《中华人民共和国行政处罚法》第七十二条的规定，我局将每日按罚款数额的百分之三加处罚款，并依法申请人民法院强制执行。</w:t>
      </w:r>
    </w:p>
    <w:p w14:paraId="5E92A301">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kern w:val="0"/>
          <w:sz w:val="32"/>
          <w:szCs w:val="32"/>
          <w:u w:val="none"/>
          <w:lang w:val="en-US" w:eastAsia="zh-CN" w:bidi="ar"/>
        </w:rPr>
        <w:t>当事人如不服本行政处罚决定，可在接到本行政处罚决定书之日起六十日内向柳州市柳北区人民政府申请行政复议；也可以在六个月内依法向柳州市柳南区人民法院提起行政诉讼。申请行政复议或者提起行政诉讼期间，行政处罚不停止执行。</w:t>
      </w:r>
      <w:r>
        <w:rPr>
          <w:rFonts w:hint="eastAsia" w:ascii="仿宋_GB2312" w:hAnsi="仿宋_GB2312" w:eastAsia="仿宋_GB2312" w:cs="仿宋_GB2312"/>
          <w:color w:val="auto"/>
          <w:sz w:val="32"/>
          <w:szCs w:val="32"/>
          <w:u w:val="none"/>
          <w:lang w:eastAsia="zh-CN"/>
        </w:rPr>
        <w:t xml:space="preserve"> </w:t>
      </w:r>
    </w:p>
    <w:p w14:paraId="067CD4AB">
      <w:pPr>
        <w:pStyle w:val="7"/>
        <w:keepNext w:val="0"/>
        <w:keepLines w:val="0"/>
        <w:pageBreakBefore w:val="0"/>
        <w:widowControl w:val="0"/>
        <w:kinsoku/>
        <w:wordWrap/>
        <w:overflowPunct/>
        <w:topLinePunct w:val="0"/>
        <w:bidi w:val="0"/>
        <w:snapToGrid/>
        <w:spacing w:line="500" w:lineRule="exact"/>
        <w:ind w:left="0" w:leftChars="0" w:right="0" w:rightChars="0"/>
        <w:textAlignment w:val="auto"/>
        <w:rPr>
          <w:rFonts w:hint="eastAsia"/>
          <w:color w:val="auto"/>
          <w:lang w:eastAsia="zh-CN"/>
        </w:rPr>
      </w:pPr>
    </w:p>
    <w:p w14:paraId="3B5CBD82">
      <w:pPr>
        <w:keepNext w:val="0"/>
        <w:keepLines w:val="0"/>
        <w:pageBreakBefore w:val="0"/>
        <w:widowControl w:val="0"/>
        <w:kinsoku/>
        <w:wordWrap/>
        <w:overflowPunct/>
        <w:topLinePunct w:val="0"/>
        <w:autoSpaceDE/>
        <w:autoSpaceDN/>
        <w:bidi w:val="0"/>
        <w:snapToGrid/>
        <w:spacing w:line="500" w:lineRule="exact"/>
        <w:ind w:right="0" w:rightChars="0"/>
        <w:textAlignment w:val="auto"/>
        <w:rPr>
          <w:rFonts w:hint="eastAsia" w:ascii="仿宋_GB2312" w:hAnsi="仿宋_GB2312" w:eastAsia="仿宋_GB2312" w:cs="仿宋_GB2312"/>
          <w:color w:val="auto"/>
          <w:sz w:val="32"/>
          <w:szCs w:val="32"/>
          <w:u w:val="none"/>
          <w:lang w:eastAsia="zh-CN"/>
        </w:rPr>
      </w:pPr>
    </w:p>
    <w:p w14:paraId="79476430">
      <w:pPr>
        <w:keepNext w:val="0"/>
        <w:keepLines w:val="0"/>
        <w:pageBreakBefore w:val="0"/>
        <w:widowControl w:val="0"/>
        <w:kinsoku/>
        <w:wordWrap/>
        <w:overflowPunct/>
        <w:topLinePunct w:val="0"/>
        <w:autoSpaceDE/>
        <w:autoSpaceDN/>
        <w:bidi w:val="0"/>
        <w:snapToGrid/>
        <w:spacing w:line="500" w:lineRule="exact"/>
        <w:ind w:left="0" w:leftChars="0" w:right="0" w:rightChars="0" w:firstLine="4480" w:firstLineChars="14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柳州市柳北区市场监督管理局</w:t>
      </w:r>
    </w:p>
    <w:p w14:paraId="1FBAFBCC">
      <w:pPr>
        <w:keepNext w:val="0"/>
        <w:keepLines w:val="0"/>
        <w:pageBreakBefore w:val="0"/>
        <w:widowControl w:val="0"/>
        <w:kinsoku/>
        <w:wordWrap/>
        <w:overflowPunct/>
        <w:topLinePunct w:val="0"/>
        <w:autoSpaceDE/>
        <w:autoSpaceDN/>
        <w:bidi w:val="0"/>
        <w:snapToGrid/>
        <w:spacing w:line="500" w:lineRule="exact"/>
        <w:ind w:left="0" w:leftChars="0" w:right="0" w:rightChars="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202</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年</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lang w:eastAsia="zh-CN"/>
        </w:rPr>
        <w:t>月</w:t>
      </w: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lang w:eastAsia="zh-CN"/>
        </w:rPr>
        <w:t>日</w:t>
      </w:r>
    </w:p>
    <w:p w14:paraId="71B6508F">
      <w:pPr>
        <w:pStyle w:val="7"/>
        <w:keepNext w:val="0"/>
        <w:keepLines w:val="0"/>
        <w:pageBreakBefore w:val="0"/>
        <w:widowControl w:val="0"/>
        <w:kinsoku/>
        <w:wordWrap/>
        <w:overflowPunct/>
        <w:topLinePunct w:val="0"/>
        <w:bidi w:val="0"/>
        <w:spacing w:line="500" w:lineRule="exact"/>
        <w:ind w:left="0" w:leftChars="0"/>
        <w:rPr>
          <w:rFonts w:hint="eastAsia" w:ascii="仿宋_GB2312" w:hAnsi="仿宋_GB2312" w:eastAsia="仿宋_GB2312" w:cs="仿宋_GB2312"/>
          <w:color w:val="auto"/>
          <w:sz w:val="32"/>
          <w:szCs w:val="32"/>
          <w:u w:val="none"/>
          <w:lang w:eastAsia="zh-CN"/>
        </w:rPr>
      </w:pPr>
    </w:p>
    <w:p w14:paraId="07BFDFCB">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3CB61CB5">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70C5F0CB">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26DEAA28">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0EE93466">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78DABA98">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b/>
          <w:bCs/>
          <w:color w:val="auto"/>
          <w:kern w:val="2"/>
          <w:sz w:val="32"/>
          <w:szCs w:val="32"/>
          <w:lang w:val="en-US" w:eastAsia="zh-CN" w:bidi="ar-SA"/>
        </w:rPr>
      </w:pPr>
    </w:p>
    <w:p w14:paraId="3784FCE2">
      <w:pPr>
        <w:pStyle w:val="2"/>
        <w:keepNext w:val="0"/>
        <w:keepLines w:val="0"/>
        <w:pageBreakBefore w:val="0"/>
        <w:widowControl w:val="0"/>
        <w:pBdr>
          <w:bottom w:val="single" w:color="auto" w:sz="6" w:space="1"/>
        </w:pBdr>
        <w:kinsoku/>
        <w:wordWrap/>
        <w:overflowPunct/>
        <w:topLinePunct w:val="0"/>
        <w:autoSpaceDE/>
        <w:autoSpaceDN/>
        <w:bidi w:val="0"/>
        <w:adjustRightInd/>
        <w:spacing w:line="500" w:lineRule="exact"/>
        <w:ind w:left="0" w:leftChars="0" w:right="0" w:rightChars="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32"/>
          <w:lang w:val="en-US" w:eastAsia="zh-CN" w:bidi="ar-SA"/>
        </w:rPr>
        <w:t>（市场监督管理部门将依法向社会公示本行政处罚决定信息）</w:t>
      </w:r>
    </w:p>
    <w:p w14:paraId="1F2E92B8">
      <w:pPr>
        <w:keepNext w:val="0"/>
        <w:keepLines w:val="0"/>
        <w:pageBreakBefore w:val="0"/>
        <w:widowControl w:val="0"/>
        <w:kinsoku/>
        <w:wordWrap/>
        <w:overflowPunct/>
        <w:topLinePunct w:val="0"/>
        <w:autoSpaceDE/>
        <w:autoSpaceDN/>
        <w:bidi w:val="0"/>
        <w:adjustRightInd/>
        <w:spacing w:line="50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本文书一式三份，一份送达，一份归档，一份办案机构留存。</w:t>
      </w:r>
      <w:r>
        <w:rPr>
          <w:rFonts w:hint="eastAsia" w:ascii="仿宋_GB2312" w:hAnsi="仿宋_GB2312" w:eastAsia="仿宋_GB2312" w:cs="仿宋_GB2312"/>
          <w:b/>
          <w:bCs/>
          <w:color w:val="auto"/>
          <w:sz w:val="32"/>
          <w:szCs w:val="32"/>
        </w:rPr>
        <w:t xml:space="preserve"> </w:t>
      </w:r>
    </w:p>
    <w:sectPr>
      <w:headerReference r:id="rId3" w:type="default"/>
      <w:footerReference r:id="rId4" w:type="default"/>
      <w:pgSz w:w="11906" w:h="16838"/>
      <w:pgMar w:top="1417" w:right="1417" w:bottom="1417" w:left="141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7AC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EFB1D5">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BEFB1D5">
                    <w:pPr>
                      <w:pStyle w:val="2"/>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262C">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5YzQ4MzIzNTgyNTc4MjYwOWY0MWEwYTYyZWVhN2EifQ=="/>
  </w:docVars>
  <w:rsids>
    <w:rsidRoot w:val="009F3D20"/>
    <w:rsid w:val="00452D7A"/>
    <w:rsid w:val="00571EF1"/>
    <w:rsid w:val="005C29E1"/>
    <w:rsid w:val="00615BC7"/>
    <w:rsid w:val="006B48CE"/>
    <w:rsid w:val="009536D0"/>
    <w:rsid w:val="009F3D20"/>
    <w:rsid w:val="00A846EF"/>
    <w:rsid w:val="00B84D6A"/>
    <w:rsid w:val="00F92F9B"/>
    <w:rsid w:val="01675B7A"/>
    <w:rsid w:val="01F46AA4"/>
    <w:rsid w:val="01F70EC8"/>
    <w:rsid w:val="01F82284"/>
    <w:rsid w:val="01FA184C"/>
    <w:rsid w:val="02076F1C"/>
    <w:rsid w:val="028D45DD"/>
    <w:rsid w:val="02D654AF"/>
    <w:rsid w:val="02FC3343"/>
    <w:rsid w:val="03716AB5"/>
    <w:rsid w:val="04C063AA"/>
    <w:rsid w:val="04FA21A8"/>
    <w:rsid w:val="05AA3F3C"/>
    <w:rsid w:val="06744B24"/>
    <w:rsid w:val="071F71BB"/>
    <w:rsid w:val="08B700B5"/>
    <w:rsid w:val="09183D69"/>
    <w:rsid w:val="0A3930ED"/>
    <w:rsid w:val="0BAD4BBE"/>
    <w:rsid w:val="0E322633"/>
    <w:rsid w:val="0F610C24"/>
    <w:rsid w:val="0FD46A93"/>
    <w:rsid w:val="113B358D"/>
    <w:rsid w:val="1173262D"/>
    <w:rsid w:val="123242D3"/>
    <w:rsid w:val="138D40B4"/>
    <w:rsid w:val="13B60AD3"/>
    <w:rsid w:val="16224693"/>
    <w:rsid w:val="16AE597D"/>
    <w:rsid w:val="16D61FC6"/>
    <w:rsid w:val="17DC5E96"/>
    <w:rsid w:val="195F080A"/>
    <w:rsid w:val="1A7C5269"/>
    <w:rsid w:val="1BB6133F"/>
    <w:rsid w:val="1BCD14F0"/>
    <w:rsid w:val="1D680EB6"/>
    <w:rsid w:val="1F966677"/>
    <w:rsid w:val="1F982818"/>
    <w:rsid w:val="1FBA6F24"/>
    <w:rsid w:val="1FBC60B9"/>
    <w:rsid w:val="205E6666"/>
    <w:rsid w:val="22384D53"/>
    <w:rsid w:val="23233619"/>
    <w:rsid w:val="234E5EC7"/>
    <w:rsid w:val="24973628"/>
    <w:rsid w:val="24F353CE"/>
    <w:rsid w:val="25D02FFD"/>
    <w:rsid w:val="27B200C7"/>
    <w:rsid w:val="2BF23E07"/>
    <w:rsid w:val="2CCC73C9"/>
    <w:rsid w:val="32936634"/>
    <w:rsid w:val="34630033"/>
    <w:rsid w:val="34D7759A"/>
    <w:rsid w:val="35653FF3"/>
    <w:rsid w:val="358C1DB7"/>
    <w:rsid w:val="36046415"/>
    <w:rsid w:val="389A08FE"/>
    <w:rsid w:val="392E645D"/>
    <w:rsid w:val="3B3F6223"/>
    <w:rsid w:val="3B764645"/>
    <w:rsid w:val="3CE619FC"/>
    <w:rsid w:val="3DC36276"/>
    <w:rsid w:val="3E337AAD"/>
    <w:rsid w:val="3F3B4CE0"/>
    <w:rsid w:val="40977C03"/>
    <w:rsid w:val="44D562FF"/>
    <w:rsid w:val="44E81092"/>
    <w:rsid w:val="4565724F"/>
    <w:rsid w:val="461375FF"/>
    <w:rsid w:val="463C09B7"/>
    <w:rsid w:val="47AA4D50"/>
    <w:rsid w:val="482E20D9"/>
    <w:rsid w:val="493E20B6"/>
    <w:rsid w:val="49FA1891"/>
    <w:rsid w:val="4A4127FF"/>
    <w:rsid w:val="4AD66954"/>
    <w:rsid w:val="4BC26F8A"/>
    <w:rsid w:val="4C8C0BFE"/>
    <w:rsid w:val="4D5F2D35"/>
    <w:rsid w:val="4DE72DDF"/>
    <w:rsid w:val="4FFD22DF"/>
    <w:rsid w:val="50BE2D36"/>
    <w:rsid w:val="52E06FEE"/>
    <w:rsid w:val="53D911B0"/>
    <w:rsid w:val="541A1F8A"/>
    <w:rsid w:val="54476703"/>
    <w:rsid w:val="559A58FE"/>
    <w:rsid w:val="580A39A0"/>
    <w:rsid w:val="5B301727"/>
    <w:rsid w:val="5CA408A7"/>
    <w:rsid w:val="5F441D8B"/>
    <w:rsid w:val="5F7170E8"/>
    <w:rsid w:val="60437229"/>
    <w:rsid w:val="61F71146"/>
    <w:rsid w:val="62022587"/>
    <w:rsid w:val="62BA6EFE"/>
    <w:rsid w:val="62F61ED7"/>
    <w:rsid w:val="66060A92"/>
    <w:rsid w:val="66D73F68"/>
    <w:rsid w:val="677B646F"/>
    <w:rsid w:val="6794136B"/>
    <w:rsid w:val="690A2603"/>
    <w:rsid w:val="69440841"/>
    <w:rsid w:val="6A5D63E6"/>
    <w:rsid w:val="6D87653E"/>
    <w:rsid w:val="7062076F"/>
    <w:rsid w:val="754B0F18"/>
    <w:rsid w:val="76433E74"/>
    <w:rsid w:val="767A2F74"/>
    <w:rsid w:val="782A21B3"/>
    <w:rsid w:val="79173937"/>
    <w:rsid w:val="7A06493D"/>
    <w:rsid w:val="7A625ED8"/>
    <w:rsid w:val="7B8E01BE"/>
    <w:rsid w:val="7C68679D"/>
    <w:rsid w:val="7CC976C2"/>
    <w:rsid w:val="7CDD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2908</Words>
  <Characters>3141</Characters>
  <Lines>12</Lines>
  <Paragraphs>3</Paragraphs>
  <TotalTime>5</TotalTime>
  <ScaleCrop>false</ScaleCrop>
  <LinksUpToDate>false</LinksUpToDate>
  <CharactersWithSpaces>3203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2026-03-12T00:55:46Z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9BDAC34A1C6C4FB9A6BF6A1C1BF37A36_13</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