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CC46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76683363"/>
      <w:bookmarkStart w:id="1" w:name="_Toc27865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eastAsia="zh-CN"/>
        </w:rPr>
        <w:t>柳州市柳北区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市场监督管理局</w:t>
      </w:r>
      <w:bookmarkEnd w:id="0"/>
      <w:bookmarkEnd w:id="1"/>
    </w:p>
    <w:p w14:paraId="08B34CD5">
      <w:pPr>
        <w:spacing w:line="56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auto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auto"/>
          <w:sz w:val="44"/>
          <w:szCs w:val="44"/>
          <w:u w:val="none"/>
        </w:rPr>
        <w:t>行政处罚决定书</w:t>
      </w:r>
      <w:bookmarkEnd w:id="2"/>
    </w:p>
    <w:p w14:paraId="5058E1FE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柳北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u w:val="none"/>
        </w:rPr>
        <w:t>市监处罚〔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u w:val="none"/>
        </w:rPr>
        <w:t>〕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41</w:t>
      </w:r>
      <w:bookmarkStart w:id="5" w:name="_GoBack"/>
      <w:bookmarkEnd w:id="5"/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u w:val="none"/>
        </w:rPr>
        <w:t>号</w:t>
      </w:r>
    </w:p>
    <w:p w14:paraId="0334BD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80" w:lineRule="exact"/>
        <w:ind w:right="55" w:firstLine="5440" w:firstLineChars="170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CB76EF"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0288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Ky1v9YAAAAMAQAADwAAAAAAAAABACAAAAAiAAAAZHJzL2Rv&#10;d25yZXYueG1sUEsBAhQAFAAAAAgAh07iQJn4c4oDAgAA+AMAAA4AAAAAAAAAAQAgAAAAJQEAAGRy&#10;cy9lMm9Eb2MueG1sUEsFBgAAAAAGAAYAWQEAAJoFAAAAAA==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26CB76EF"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422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bCs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bCs/>
          <w:color w:val="auto"/>
          <w:kern w:val="1"/>
          <w:sz w:val="32"/>
          <w:szCs w:val="32"/>
          <w:u w:val="none" w:color="auto"/>
        </w:rPr>
        <w:t>当事人：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广西润螺来食品科技有限公司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</w:rPr>
        <w:t xml:space="preserve">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</w:t>
      </w:r>
    </w:p>
    <w:p w14:paraId="562F82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微软雅黑"/>
          <w:bCs/>
          <w:color w:val="auto"/>
          <w:kern w:val="1"/>
          <w:sz w:val="32"/>
          <w:szCs w:val="32"/>
          <w:u w:val="none" w:color="auto"/>
        </w:rPr>
        <w:t>主体资格证照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eastAsia="zh-CN"/>
        </w:rPr>
        <w:t xml:space="preserve">营业执照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       </w:t>
      </w:r>
    </w:p>
    <w:p w14:paraId="3A97FB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91450205MA5QBQFH5E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  </w:t>
      </w:r>
    </w:p>
    <w:p w14:paraId="3ECD24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住所：</w:t>
      </w:r>
      <w:bookmarkStart w:id="3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柳州市柳北区园艺村苟冲屯四队9号李迁福家</w:t>
      </w:r>
      <w:bookmarkEnd w:id="3"/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</w:t>
      </w:r>
    </w:p>
    <w:p w14:paraId="3BC99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覃安平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</w:t>
      </w:r>
    </w:p>
    <w:p w14:paraId="2FE9CB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身份证件号码：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*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</w:t>
      </w:r>
    </w:p>
    <w:p w14:paraId="20019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558DDFD4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2025年11月19日，谱尼测试集团广西有限公司抽样人员对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当事人生产的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生产日期为2025-10-17的盛螺香柳州螺蛳粉进行抽样送检。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我局于2025年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日接到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谱尼测试集团广西有限公司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月1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日出具的编号为N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：C9FB22011C9F6030159的《检验报告》，检验结论为不合格。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2025年12月24日向当事人送达了上述检验报告及检验结果通知书，并对当事人住所进行了现场检查，经检查，当事人生产的上述不合格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柳州螺蛳粉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已无库存。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当事人在法定期限内未提出复检申请。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我局于202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日对当事人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涉嫌生产经营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不符合食品安全标准的食品的行为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进行立案调查。</w:t>
      </w:r>
    </w:p>
    <w:p w14:paraId="6943430C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经查实，当事人于2025年10月17日共生产了190包盛螺香柳州螺蛳粉，其中10包用于出厂检验和留样，其余180包入库并以10包一件，每件30元的价格销售给*日用品百货商行。上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述柳州螺蛳粉经谱尼测试集团广西有限公司抽样检验，检验结论：经抽样检验，过氧化值（以脂肪计）项目不符合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DBS 45/034-2021《食品安全地方标准 柳州螺蛳粉》要求，检验结论为不合格。收到不合格报告后当事人立即组织向*日用品百货商行开展召回工作，共召回上述螺蛳粉170包。上述柳州螺蛳粉货值金额共540元，营业性收入30元。</w:t>
      </w:r>
    </w:p>
    <w:p w14:paraId="2956C5EB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上述事实，主要有以下证据证明：</w:t>
      </w:r>
    </w:p>
    <w:p w14:paraId="593B443A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当事人的《营业执照》、《食品生产许可证》、法定代表人身份证复印件、授权委托书、被委托人的身份证复印件，证明当事人的生产经营主体资格、法定代表人及被委托人的身份信息。</w:t>
      </w:r>
    </w:p>
    <w:p w14:paraId="7B43FF6E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1份、《检验报告》（编号为No: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C9FB22011C9F6030159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）1份、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现场笔录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询问笔录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证据提取单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、抽样现场图片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、样品图片1份、《食品安全抽样检验抽样单（非食用农产品）》复印件1份、《食品安全抽样检验告知书》复印件1份、检验留存样品及处理记录表复印件1份、销售清单复印件1份、成品入库记录复印件1份、成品出库记录复印件1份、组合包装投料记录表复印件1份、销售台账复印件1份、食品添加剂使用记录复印件1份、原料领用记录复印件1份、原料投放记录复印件1份、原辅料进货入库、验货验收记录表复印件1份、出厂检验报告及原始记录复印件1份、原辅料供货商资质复印件18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证明当事人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存在生产经营过氧化值（以脂肪计）项目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不符合DBS 45/034-2021《食品安全地方标准 柳州螺蛳粉》要求的柳州螺蛳粉的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事实。</w:t>
      </w:r>
    </w:p>
    <w:p w14:paraId="066691A4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3.《召回计划》《召回通知书》《召回公告》《产品召回记录》复印件1各份、召回及自查整改报告复印件1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份、不合格产品销毁记录复印件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证明当事人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的自查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整改情况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。</w:t>
      </w:r>
    </w:p>
    <w:p w14:paraId="1318A0A7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以上证据均由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当事人及相关证明人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签名认可。</w:t>
      </w:r>
    </w:p>
    <w:p w14:paraId="09B47F27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2026年2月25日我局向当事人送达了《行政处罚告知书》（柳北市监罚告〔2026〕22号），告知当事人我局拟作出行政处罚的事实、理由、依据、处罚内容及享有的权利。当事人在法定期限内未向我局提出陈述、申辩。</w:t>
      </w:r>
    </w:p>
    <w:p w14:paraId="36AE2AF5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当事人生产经营上述柳州螺蛳粉的行为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违反了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《中华人民共和国食品安全法》第三十四条第一款第十三项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的规定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，属于生产经营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不符合食品安全标准的食品的行为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本案货值金额540元，违法所得30元。</w:t>
      </w:r>
    </w:p>
    <w:p w14:paraId="5BB5C450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当事人在案件调查过程中积极配合，主动提供证据材料，如实陈述违法事实，积极进行整改，及时召回不合格产品，主动减轻违法行为危害后果，除销售给抽检单位的食品外，其余食品均未流入终端市场给消费者食用，未造成食品安全事故等人身危害后果，且涉案产品货值金额不足一千元，当事人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具有市场监管总局《</w:t>
      </w:r>
      <w:bookmarkStart w:id="4" w:name="OLE_LINK2"/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关于规范市场监督管理行政处罚裁量权的指导意见</w:t>
      </w:r>
      <w:bookmarkEnd w:id="4"/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第十三条第一款第二项、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第十四条第一款第二项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、《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广西壮族自治区市场监督管理行政处罚裁量权适用规定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第一款第二项、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第一款第二项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规定的依法从轻或者减轻行政处罚的情形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，符合《广西壮族自治区市场监督管理行政处罚裁量基准（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 版）》中《食品安全法》行政处罚裁量基准减轻处罚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适用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情形的规定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依据《中华人民共和国行政处罚法》第五条、第六条、第三十二条第一款第一项的规定，我局决定给予当事人减轻行政处罚。</w:t>
      </w:r>
    </w:p>
    <w:p w14:paraId="43735680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 对于当事人生产经营不符合食品安全标准的食品的行为，依据《中华人民共和国食品安全法》第一百二十四条第一款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第二款、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《中华人民共和国行政处罚法》第二十八条第一款的规定，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我局决定责令当事人立即改正该违法行为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给予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当事人没收违法所得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30元、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的行政处罚。</w:t>
      </w:r>
    </w:p>
    <w:p w14:paraId="05CA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上述罚没款合计金额10030元。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</w:t>
      </w:r>
    </w:p>
    <w:p w14:paraId="13942941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当事人应当自收到本行政处罚决定书之日起十五日内，凭《广西壮族自治区非税收入电子缴款通知书》到中国建设银行缴纳罚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款。逾期不缴纳罚款的，依据《中华人民共和国行政处罚法》第七十二条的规定，我局将每日按罚款数额的百分之三加处罚款，并依法申请人民法院强制执行。</w:t>
      </w:r>
    </w:p>
    <w:p w14:paraId="5C60EFD4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48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当事人如不服本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处罚决定书之日起60日内向柳州市柳北区人民政府申请行政复议，也可以于6个月内依法向柳州市柳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区人民法院提起行政诉讼。申请行政复议或者提起行政诉讼期间，行政处罚不停止执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 w:color="auto"/>
        </w:rPr>
        <w:tab/>
      </w:r>
    </w:p>
    <w:p w14:paraId="08228C0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</w:t>
      </w:r>
    </w:p>
    <w:p w14:paraId="48E57A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D8028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1D225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 w:firstLine="601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A4F4D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475E4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640" w:firstLine="601"/>
        <w:jc w:val="center"/>
        <w:textAlignment w:val="auto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柳州市柳北区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 xml:space="preserve">市场监督管理局    </w:t>
      </w:r>
    </w:p>
    <w:p w14:paraId="3134F9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right="1280" w:firstLine="600"/>
        <w:jc w:val="center"/>
        <w:textAlignment w:val="auto"/>
        <w:rPr>
          <w:rFonts w:hint="eastAsia" w:ascii="黑体" w:hAnsi="黑体" w:eastAsia="黑体"/>
          <w:color w:val="auto"/>
          <w:spacing w:val="-16"/>
        </w:rPr>
      </w:pP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  <w:lang w:val="en-US" w:eastAsia="zh-CN"/>
        </w:rPr>
        <w:t xml:space="preserve">                      2026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u w:val="none"/>
        </w:rPr>
        <w:t xml:space="preserve">日 </w:t>
      </w:r>
    </w:p>
    <w:p w14:paraId="21F8FA44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099D7B5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697EC15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11D5915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68B6243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7FF149F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7A623F6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77C34F6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7E13F74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16B5637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107A5F1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23725A3D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3C06E20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71F7271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/>
          <w:color w:val="auto"/>
          <w:spacing w:val="-16"/>
          <w:u w:val="none"/>
        </w:rPr>
        <w:t>（市场监督管理部门将依法向社会公开行政处罚决定信息）</w:t>
      </w:r>
    </w:p>
    <w:p w14:paraId="0985C2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2336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v85HXAAAACgEAAA8AAAAAAAAAAQAgAAAAIgAAAGRycy9kb3ducmV2Lnht&#10;bFBLAQIUABQAAAAIAIdO4kCaWrP4+gEAAOUDAAAOAAAAAAAAAAEAIAAAACYBAABkcnMvZTJvRG9j&#10;LnhtbFBLBQYAAAAABgAGAFkBAACS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份送达，一份归档，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办案单位留存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。</w:t>
      </w:r>
    </w:p>
    <w:p w14:paraId="5AB3142F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49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CBCD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CBCD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mI5Nzc3ZDIzZDdkYzIwN2Q5OTA4ZmZiODlhNWUifQ=="/>
    <w:docVar w:name="KSO_WPS_MARK_KEY" w:val="3a570657-d4b9-4633-8bde-b1be1a221b99"/>
  </w:docVars>
  <w:rsids>
    <w:rsidRoot w:val="5BA419F7"/>
    <w:rsid w:val="00193C35"/>
    <w:rsid w:val="0032134F"/>
    <w:rsid w:val="010A478A"/>
    <w:rsid w:val="02B83402"/>
    <w:rsid w:val="03AC2FBC"/>
    <w:rsid w:val="042774DD"/>
    <w:rsid w:val="048D2705"/>
    <w:rsid w:val="04CD463F"/>
    <w:rsid w:val="04FA4431"/>
    <w:rsid w:val="05C51508"/>
    <w:rsid w:val="06476E0A"/>
    <w:rsid w:val="064E48E4"/>
    <w:rsid w:val="06BAE61F"/>
    <w:rsid w:val="071952B1"/>
    <w:rsid w:val="071C7669"/>
    <w:rsid w:val="07580619"/>
    <w:rsid w:val="0776795A"/>
    <w:rsid w:val="07DA78EE"/>
    <w:rsid w:val="08365B64"/>
    <w:rsid w:val="087864F3"/>
    <w:rsid w:val="090B4D3A"/>
    <w:rsid w:val="09290BEC"/>
    <w:rsid w:val="09AA7B69"/>
    <w:rsid w:val="0A2F38BD"/>
    <w:rsid w:val="0A3665F0"/>
    <w:rsid w:val="0B22091D"/>
    <w:rsid w:val="0CF71776"/>
    <w:rsid w:val="0D242541"/>
    <w:rsid w:val="0F233BB2"/>
    <w:rsid w:val="0FB748D6"/>
    <w:rsid w:val="103E22C5"/>
    <w:rsid w:val="11524677"/>
    <w:rsid w:val="11527EFA"/>
    <w:rsid w:val="115320F9"/>
    <w:rsid w:val="119E3BCA"/>
    <w:rsid w:val="1350279A"/>
    <w:rsid w:val="137052A8"/>
    <w:rsid w:val="13B137E3"/>
    <w:rsid w:val="13DD17A2"/>
    <w:rsid w:val="14203063"/>
    <w:rsid w:val="143E1E38"/>
    <w:rsid w:val="1490670C"/>
    <w:rsid w:val="152E563E"/>
    <w:rsid w:val="15B93156"/>
    <w:rsid w:val="1693542B"/>
    <w:rsid w:val="16D23D7F"/>
    <w:rsid w:val="18325353"/>
    <w:rsid w:val="188449CB"/>
    <w:rsid w:val="18B229B2"/>
    <w:rsid w:val="19FE4517"/>
    <w:rsid w:val="1AE345F4"/>
    <w:rsid w:val="1B37398D"/>
    <w:rsid w:val="1C7339BB"/>
    <w:rsid w:val="1C7A5BA8"/>
    <w:rsid w:val="1CFE2569"/>
    <w:rsid w:val="1E664711"/>
    <w:rsid w:val="1EC222D9"/>
    <w:rsid w:val="1F2B5D07"/>
    <w:rsid w:val="1FC004DE"/>
    <w:rsid w:val="1FD31F15"/>
    <w:rsid w:val="212E3259"/>
    <w:rsid w:val="22287087"/>
    <w:rsid w:val="237778B4"/>
    <w:rsid w:val="23F5677C"/>
    <w:rsid w:val="24626694"/>
    <w:rsid w:val="258D6CE0"/>
    <w:rsid w:val="262542E9"/>
    <w:rsid w:val="26F33EC9"/>
    <w:rsid w:val="27A45517"/>
    <w:rsid w:val="2A315B45"/>
    <w:rsid w:val="2B1B3EFC"/>
    <w:rsid w:val="2CEA3815"/>
    <w:rsid w:val="2DE10173"/>
    <w:rsid w:val="2F327E79"/>
    <w:rsid w:val="2F7CE1EF"/>
    <w:rsid w:val="2F8A6913"/>
    <w:rsid w:val="30DB5683"/>
    <w:rsid w:val="30FA2F6D"/>
    <w:rsid w:val="31562B39"/>
    <w:rsid w:val="31BE0AF5"/>
    <w:rsid w:val="32CE76E8"/>
    <w:rsid w:val="3334290F"/>
    <w:rsid w:val="33740640"/>
    <w:rsid w:val="337D5607"/>
    <w:rsid w:val="33F757E3"/>
    <w:rsid w:val="3585615B"/>
    <w:rsid w:val="363C12E3"/>
    <w:rsid w:val="368E138D"/>
    <w:rsid w:val="368E5656"/>
    <w:rsid w:val="377FBB27"/>
    <w:rsid w:val="37F16547"/>
    <w:rsid w:val="38B63DA7"/>
    <w:rsid w:val="3930619F"/>
    <w:rsid w:val="3A4E178D"/>
    <w:rsid w:val="3BF97ECA"/>
    <w:rsid w:val="3C2965F0"/>
    <w:rsid w:val="3D6B1177"/>
    <w:rsid w:val="3E3D1C6D"/>
    <w:rsid w:val="3E5F4AE1"/>
    <w:rsid w:val="3E853745"/>
    <w:rsid w:val="3F2604DF"/>
    <w:rsid w:val="3F6783E4"/>
    <w:rsid w:val="3F842066"/>
    <w:rsid w:val="3FB93A98"/>
    <w:rsid w:val="3FFF82D4"/>
    <w:rsid w:val="402E7C06"/>
    <w:rsid w:val="40EC510F"/>
    <w:rsid w:val="40FE5F8F"/>
    <w:rsid w:val="425049CE"/>
    <w:rsid w:val="43D64F1C"/>
    <w:rsid w:val="442B16EC"/>
    <w:rsid w:val="458F64B9"/>
    <w:rsid w:val="45C51FFB"/>
    <w:rsid w:val="45D97D78"/>
    <w:rsid w:val="46157ACD"/>
    <w:rsid w:val="47243FC5"/>
    <w:rsid w:val="48C10000"/>
    <w:rsid w:val="4A2B2A70"/>
    <w:rsid w:val="4A555101"/>
    <w:rsid w:val="4ADF49AE"/>
    <w:rsid w:val="4B6A224B"/>
    <w:rsid w:val="4B8F0B22"/>
    <w:rsid w:val="4BB040B9"/>
    <w:rsid w:val="4C02380F"/>
    <w:rsid w:val="4C7C04B3"/>
    <w:rsid w:val="4C7C5D8B"/>
    <w:rsid w:val="4C7D7F89"/>
    <w:rsid w:val="4CC8271B"/>
    <w:rsid w:val="4D9306AE"/>
    <w:rsid w:val="4DA335EF"/>
    <w:rsid w:val="4E8950D9"/>
    <w:rsid w:val="4F722566"/>
    <w:rsid w:val="4F93378A"/>
    <w:rsid w:val="503F09B5"/>
    <w:rsid w:val="516D5500"/>
    <w:rsid w:val="52802336"/>
    <w:rsid w:val="53A0483E"/>
    <w:rsid w:val="547C0750"/>
    <w:rsid w:val="55FE5622"/>
    <w:rsid w:val="56743063"/>
    <w:rsid w:val="574014B2"/>
    <w:rsid w:val="57503162"/>
    <w:rsid w:val="57CD06E5"/>
    <w:rsid w:val="58664B17"/>
    <w:rsid w:val="58A4140A"/>
    <w:rsid w:val="591F0542"/>
    <w:rsid w:val="59A10938"/>
    <w:rsid w:val="5A7125EE"/>
    <w:rsid w:val="5BA419F7"/>
    <w:rsid w:val="5BEF1DBF"/>
    <w:rsid w:val="5BF91583"/>
    <w:rsid w:val="5BFB2E57"/>
    <w:rsid w:val="5C1A3406"/>
    <w:rsid w:val="5C5D2BD9"/>
    <w:rsid w:val="5DD7483B"/>
    <w:rsid w:val="5E5FAB03"/>
    <w:rsid w:val="5E605C94"/>
    <w:rsid w:val="5EA00CBE"/>
    <w:rsid w:val="5F9FEDD5"/>
    <w:rsid w:val="5FBEF003"/>
    <w:rsid w:val="5FE33914"/>
    <w:rsid w:val="5FFA4D85"/>
    <w:rsid w:val="602422E6"/>
    <w:rsid w:val="60B635F2"/>
    <w:rsid w:val="60C16F3B"/>
    <w:rsid w:val="612E7E8C"/>
    <w:rsid w:val="617678F3"/>
    <w:rsid w:val="61A23C3A"/>
    <w:rsid w:val="61DC2B1A"/>
    <w:rsid w:val="636955DE"/>
    <w:rsid w:val="646E5E05"/>
    <w:rsid w:val="64E43803"/>
    <w:rsid w:val="657F58CB"/>
    <w:rsid w:val="659B47BF"/>
    <w:rsid w:val="65A2051D"/>
    <w:rsid w:val="66934D57"/>
    <w:rsid w:val="675B2CB5"/>
    <w:rsid w:val="6A3D51EB"/>
    <w:rsid w:val="6A4B0267"/>
    <w:rsid w:val="6AD7030F"/>
    <w:rsid w:val="6BA277B7"/>
    <w:rsid w:val="6BCC1BB9"/>
    <w:rsid w:val="6C6723F1"/>
    <w:rsid w:val="6CA517CF"/>
    <w:rsid w:val="6D064CEC"/>
    <w:rsid w:val="6D6C7F13"/>
    <w:rsid w:val="6D923254"/>
    <w:rsid w:val="6DD2313B"/>
    <w:rsid w:val="6E04767D"/>
    <w:rsid w:val="6E355D52"/>
    <w:rsid w:val="6E6950E9"/>
    <w:rsid w:val="6ED952C0"/>
    <w:rsid w:val="6F013B3F"/>
    <w:rsid w:val="6F732ABB"/>
    <w:rsid w:val="6FF58B64"/>
    <w:rsid w:val="6FF8F863"/>
    <w:rsid w:val="70CF02CA"/>
    <w:rsid w:val="70F532B7"/>
    <w:rsid w:val="71013020"/>
    <w:rsid w:val="710D7C3E"/>
    <w:rsid w:val="71FC56E7"/>
    <w:rsid w:val="725D4C1F"/>
    <w:rsid w:val="7376089F"/>
    <w:rsid w:val="74E06ABE"/>
    <w:rsid w:val="75B2DA43"/>
    <w:rsid w:val="75BD90DB"/>
    <w:rsid w:val="75CC41D0"/>
    <w:rsid w:val="75DA7204"/>
    <w:rsid w:val="75F8119D"/>
    <w:rsid w:val="76222141"/>
    <w:rsid w:val="76704CDE"/>
    <w:rsid w:val="76D869B3"/>
    <w:rsid w:val="76FD0A98"/>
    <w:rsid w:val="77DF8BD4"/>
    <w:rsid w:val="77EFD5CC"/>
    <w:rsid w:val="77FFADAC"/>
    <w:rsid w:val="7835649C"/>
    <w:rsid w:val="789620E4"/>
    <w:rsid w:val="78FD530C"/>
    <w:rsid w:val="7A057D3D"/>
    <w:rsid w:val="7AFB4DD2"/>
    <w:rsid w:val="7B0F6E9A"/>
    <w:rsid w:val="7B242713"/>
    <w:rsid w:val="7BA46A39"/>
    <w:rsid w:val="7BFD6076"/>
    <w:rsid w:val="7C8E43D6"/>
    <w:rsid w:val="7DA813EB"/>
    <w:rsid w:val="7DFF108F"/>
    <w:rsid w:val="7EED8AE6"/>
    <w:rsid w:val="7F5A6980"/>
    <w:rsid w:val="7F844159"/>
    <w:rsid w:val="7FEADF5C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2090</Words>
  <Characters>2256</Characters>
  <Lines>0</Lines>
  <Paragraphs>0</Paragraphs>
  <TotalTime>2</TotalTime>
  <ScaleCrop>false</ScaleCrop>
  <LinksUpToDate>false</LinksUpToDate>
  <CharactersWithSpaces>2513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2021-08-02T10:04:00Z</dcterms:created>
  <dc:creator>胖林宝宝噜啦噜～</dc:creator>
  <cp:lastModifiedBy>河谷镇</cp:lastModifiedBy>
  <dcterms:modified xsi:type="dcterms:W3CDTF">2026-03-09T01:30:14Z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526F4C53292B48849053E71A59849707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