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08CE4">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3" w:name="_GoBack"/>
      <w:bookmarkStart w:id="0" w:name="DYNAMIC—DWXX—tAj_dwmc"/>
      <w:r>
        <w:rPr>
          <w:rFonts w:hint="eastAsia" w:ascii="方正小标宋简体" w:hAnsi="方正小标宋简体" w:eastAsia="方正小标宋简体" w:cs="方正小标宋简体"/>
          <w:color w:val="auto"/>
          <w:sz w:val="44"/>
          <w:u w:val="none"/>
          <w:lang w:eastAsia="zh-CN"/>
        </w:rPr>
        <w:t>柳州市</w:t>
      </w:r>
      <w:r>
        <w:rPr>
          <w:rFonts w:hint="default" w:ascii="方正小标宋简体" w:hAnsi="方正小标宋简体" w:eastAsia="方正小标宋简体" w:cs="方正小标宋简体"/>
          <w:color w:val="auto"/>
          <w:sz w:val="44"/>
          <w:u w:val="none"/>
        </w:rPr>
        <w:t>柳北区市场监督管理局</w:t>
      </w:r>
      <w:bookmarkEnd w:id="0"/>
    </w:p>
    <w:p w14:paraId="5E67BE18">
      <w:pPr>
        <w:pStyle w:val="3"/>
        <w:keepNext w:val="0"/>
        <w:keepLines w:val="0"/>
        <w:pageBreakBefore w:val="0"/>
        <w:numPr>
          <w:ilvl w:val="0"/>
          <w:numId w:val="2"/>
        </w:numPr>
        <w:kinsoku/>
        <w:wordWrap/>
        <w:overflowPunct/>
        <w:topLinePunct w:val="0"/>
        <w:bidi w:val="0"/>
        <w:spacing w:before="0" w:after="0" w:line="560" w:lineRule="exact"/>
        <w:jc w:val="center"/>
        <w:rPr>
          <w:rFonts w:hint="default" w:ascii="Times New Roman" w:hAnsi="Times New Roman" w:eastAsia="方正小标宋简体" w:cs="Times New Roman"/>
          <w:color w:val="auto"/>
          <w:sz w:val="44"/>
          <w:szCs w:val="44"/>
        </w:rPr>
      </w:pPr>
      <w:bookmarkStart w:id="1" w:name="_Toc76683344"/>
      <w:r>
        <w:rPr>
          <w:rFonts w:hint="default" w:ascii="Times New Roman" w:hAnsi="Times New Roman" w:eastAsia="方正小标宋简体" w:cs="Times New Roman"/>
          <w:color w:val="auto"/>
          <w:sz w:val="44"/>
          <w:szCs w:val="44"/>
          <w:u w:val="none"/>
          <w:lang w:val="en-US"/>
        </w:rPr>
        <w:t>行政处罚</w:t>
      </w:r>
      <w:r>
        <w:rPr>
          <w:rFonts w:hint="default" w:ascii="Times New Roman" w:hAnsi="Times New Roman" w:eastAsia="方正小标宋简体" w:cs="Times New Roman"/>
          <w:color w:val="auto"/>
          <w:sz w:val="44"/>
          <w:szCs w:val="44"/>
          <w:u w:val="none"/>
          <w:lang w:val="en-US" w:eastAsia="zh-Hans"/>
        </w:rPr>
        <w:t>决定</w:t>
      </w:r>
      <w:r>
        <w:rPr>
          <w:rFonts w:hint="default" w:ascii="Times New Roman" w:hAnsi="Times New Roman" w:eastAsia="方正小标宋简体" w:cs="Times New Roman"/>
          <w:color w:val="auto"/>
          <w:sz w:val="44"/>
          <w:szCs w:val="44"/>
          <w:u w:val="none"/>
          <w:lang w:val="en-US"/>
        </w:rPr>
        <w:t>书</w:t>
      </w:r>
      <w:bookmarkEnd w:id="1"/>
    </w:p>
    <w:p w14:paraId="10D9F11F">
      <w:pPr>
        <w:keepNext w:val="0"/>
        <w:keepLines w:val="0"/>
        <w:pageBreakBefore w:val="0"/>
        <w:widowControl/>
        <w:kinsoku/>
        <w:wordWrap/>
        <w:overflowPunct/>
        <w:topLinePunct w:val="0"/>
        <w:bidi w:val="0"/>
        <w:snapToGrid w:val="0"/>
        <w:spacing w:line="560" w:lineRule="exact"/>
        <w:ind w:right="55"/>
        <w:jc w:val="center"/>
        <w:outlineLvl w:val="1"/>
        <w:rPr>
          <w:rFonts w:hint="default" w:ascii="Times New Roman" w:hAnsi="Times New Roman" w:eastAsia="仿宋_GB2312" w:cs="Times New Roman"/>
          <w:color w:val="auto"/>
          <w:sz w:val="32"/>
          <w:u w:val="none"/>
        </w:rPr>
      </w:pPr>
      <w:bookmarkStart w:id="2" w:name="tAj_wh"/>
      <w:r>
        <w:rPr>
          <w:rFonts w:hint="default" w:ascii="Times New Roman" w:hAnsi="Times New Roman" w:eastAsia="仿宋_GB2312" w:cs="Times New Roman"/>
          <w:color w:val="auto"/>
          <w:sz w:val="32"/>
          <w:u w:val="none"/>
        </w:rPr>
        <w:t>柳北市监处罚〔202</w:t>
      </w:r>
      <w:r>
        <w:rPr>
          <w:rFonts w:hint="eastAsia" w:ascii="Times New Roman" w:hAnsi="Times New Roman" w:eastAsia="仿宋_GB2312" w:cs="Times New Roman"/>
          <w:color w:val="auto"/>
          <w:sz w:val="32"/>
          <w:u w:val="none"/>
          <w:lang w:val="en-US" w:eastAsia="zh-CN"/>
        </w:rPr>
        <w:t>6</w:t>
      </w:r>
      <w:r>
        <w:rPr>
          <w:rFonts w:hint="default" w:ascii="Times New Roman" w:hAnsi="Times New Roman" w:eastAsia="仿宋_GB2312" w:cs="Times New Roman"/>
          <w:color w:val="auto"/>
          <w:sz w:val="32"/>
          <w:u w:val="none"/>
        </w:rPr>
        <w:t>〕</w:t>
      </w:r>
      <w:r>
        <w:rPr>
          <w:rFonts w:hint="eastAsia" w:ascii="Times New Roman" w:hAnsi="Times New Roman" w:eastAsia="仿宋_GB2312" w:cs="Times New Roman"/>
          <w:color w:val="auto"/>
          <w:sz w:val="32"/>
          <w:u w:val="none"/>
          <w:lang w:val="en-US" w:eastAsia="zh-CN"/>
        </w:rPr>
        <w:t>38</w:t>
      </w:r>
      <w:r>
        <w:rPr>
          <w:rFonts w:hint="default" w:ascii="Times New Roman" w:hAnsi="Times New Roman" w:eastAsia="仿宋_GB2312" w:cs="Times New Roman"/>
          <w:color w:val="auto"/>
          <w:sz w:val="32"/>
          <w:u w:val="none"/>
        </w:rPr>
        <w:t>号</w:t>
      </w:r>
      <w:bookmarkEnd w:id="2"/>
    </w:p>
    <w:p w14:paraId="760EEC10">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color w:val="auto"/>
          <w:sz w:val="32"/>
          <w:szCs w:val="32"/>
          <w:u w:val="none"/>
          <w:lang w:eastAsia="zh-CN"/>
        </w:rPr>
      </w:pPr>
    </w:p>
    <w:p w14:paraId="39131361">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w:t>
      </w:r>
      <w:r>
        <w:rPr>
          <w:rFonts w:hint="eastAsia" w:ascii="仿宋_GB2312" w:hAnsi="仿宋_GB2312" w:eastAsia="仿宋_GB2312" w:cs="仿宋_GB2312"/>
          <w:bCs/>
          <w:color w:val="auto"/>
          <w:sz w:val="32"/>
          <w:szCs w:val="32"/>
          <w:lang w:val="en-US" w:eastAsia="zh-CN"/>
        </w:rPr>
        <w:t>李喜乐</w:t>
      </w:r>
    </w:p>
    <w:p w14:paraId="5DCBE9C5">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主体资格证照名称：</w:t>
      </w:r>
      <w:r>
        <w:rPr>
          <w:rFonts w:hint="eastAsia" w:ascii="仿宋_GB2312" w:hAnsi="仿宋_GB2312" w:eastAsia="仿宋_GB2312" w:cs="仿宋_GB2312"/>
          <w:color w:val="auto"/>
          <w:sz w:val="32"/>
          <w:szCs w:val="32"/>
          <w:u w:val="none"/>
          <w:lang w:val="en-US" w:eastAsia="zh-CN"/>
        </w:rPr>
        <w:t>营业执照</w:t>
      </w:r>
    </w:p>
    <w:p w14:paraId="1F5DEEAF">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color="auto"/>
          <w:lang w:val="en-US" w:eastAsia="zh-CN"/>
        </w:rPr>
        <w:t>统一社会信用代码：</w:t>
      </w:r>
      <w:r>
        <w:rPr>
          <w:rFonts w:hint="eastAsia" w:ascii="仿宋_GB2312" w:hAnsi="仿宋_GB2312" w:eastAsia="仿宋_GB2312" w:cs="仿宋_GB2312"/>
          <w:bCs/>
          <w:color w:val="auto"/>
          <w:sz w:val="32"/>
          <w:szCs w:val="32"/>
          <w:highlight w:val="none"/>
          <w:lang w:val="en-US" w:eastAsia="zh-CN"/>
        </w:rPr>
        <w:t>92450205MA5M6R1B9T</w:t>
      </w:r>
    </w:p>
    <w:p w14:paraId="7C8ED929">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sz w:val="32"/>
          <w:szCs w:val="32"/>
          <w:highlight w:val="none"/>
          <w:u w:val="none" w:color="auto"/>
          <w:lang w:val="en-US" w:eastAsia="zh-CN"/>
        </w:rPr>
        <w:t>经营场所：</w:t>
      </w:r>
      <w:r>
        <w:rPr>
          <w:rFonts w:hint="eastAsia" w:ascii="仿宋_GB2312" w:hAnsi="仿宋_GB2312" w:eastAsia="仿宋_GB2312" w:cs="仿宋_GB2312"/>
          <w:bCs/>
          <w:color w:val="auto"/>
          <w:sz w:val="32"/>
          <w:szCs w:val="32"/>
          <w:lang w:val="en-US" w:eastAsia="zh-CN"/>
        </w:rPr>
        <w:t>柳州市北站市场蔬菜行</w:t>
      </w:r>
      <w:r>
        <w:rPr>
          <w:rFonts w:hint="eastAsia" w:ascii="仿宋_GB2312" w:hAnsi="仿宋_GB2312" w:eastAsia="仿宋_GB2312" w:cs="仿宋_GB2312"/>
          <w:color w:val="auto"/>
          <w:sz w:val="32"/>
          <w:szCs w:val="32"/>
          <w:u w:val="none" w:color="auto"/>
          <w:lang w:val="en-US" w:eastAsia="zh-CN"/>
        </w:rPr>
        <w:t xml:space="preserve"> </w:t>
      </w:r>
    </w:p>
    <w:p w14:paraId="02F332C1">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bidi="ar-SA"/>
        </w:rPr>
        <w:t>身份证件号码：</w:t>
      </w:r>
      <w:r>
        <w:rPr>
          <w:rFonts w:hint="eastAsia" w:ascii="仿宋_GB2312" w:hAnsi="仿宋_GB2312" w:eastAsia="仿宋_GB2312" w:cs="仿宋_GB2312"/>
          <w:bCs/>
          <w:color w:val="auto"/>
          <w:sz w:val="32"/>
          <w:szCs w:val="32"/>
          <w:lang w:val="en-US" w:eastAsia="zh-CN"/>
        </w:rPr>
        <w:t>*</w:t>
      </w:r>
    </w:p>
    <w:p w14:paraId="3E6FDFA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lang w:val="en-US" w:eastAsia="zh-CN"/>
        </w:rPr>
      </w:pPr>
    </w:p>
    <w:p w14:paraId="28E604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2025年11月13日，广西民生中检联检测有限公司的工作人员对当事人当日购进并销售的青椒进行抽样检验。2025年12月10日我局收到广西民生中检联检测有限公司出具的编号为№：BFSQF110220011C的《检验报告》，检验结论为不合格。2025年12月16日，我局向当事人送达上述《检验报告》及《食品安全抽样检验结果通知书》，并对当事人经营场所进行现场检查。经检查，上述青椒已无在售及库存</w:t>
      </w:r>
      <w:r>
        <w:rPr>
          <w:rFonts w:hint="eastAsia" w:ascii="仿宋_GB2312" w:hAnsi="仿宋_GB2312" w:eastAsia="仿宋_GB2312" w:cs="仿宋_GB2312"/>
          <w:bCs/>
          <w:color w:val="auto"/>
          <w:sz w:val="32"/>
          <w:szCs w:val="32"/>
        </w:rPr>
        <w:t>。我局于</w:t>
      </w:r>
      <w:r>
        <w:rPr>
          <w:rFonts w:hint="eastAsia" w:ascii="仿宋_GB2312" w:hAnsi="仿宋_GB2312" w:eastAsia="仿宋_GB2312" w:cs="仿宋_GB2312"/>
          <w:bCs/>
          <w:color w:val="auto"/>
          <w:sz w:val="32"/>
          <w:szCs w:val="32"/>
          <w:highlight w:val="none"/>
          <w:lang w:eastAsia="zh-CN"/>
        </w:rPr>
        <w:t>202</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年</w:t>
      </w:r>
      <w:r>
        <w:rPr>
          <w:rFonts w:hint="eastAsia" w:ascii="仿宋_GB2312" w:hAnsi="仿宋_GB2312" w:eastAsia="仿宋_GB2312" w:cs="仿宋_GB2312"/>
          <w:bCs/>
          <w:color w:val="auto"/>
          <w:sz w:val="32"/>
          <w:szCs w:val="32"/>
          <w:highlight w:val="none"/>
          <w:lang w:val="en-US" w:eastAsia="zh-CN"/>
        </w:rPr>
        <w:t>12</w:t>
      </w:r>
      <w:r>
        <w:rPr>
          <w:rFonts w:hint="eastAsia" w:ascii="仿宋_GB2312" w:hAnsi="仿宋_GB2312" w:eastAsia="仿宋_GB2312" w:cs="仿宋_GB2312"/>
          <w:bCs/>
          <w:color w:val="auto"/>
          <w:sz w:val="32"/>
          <w:szCs w:val="32"/>
          <w:highlight w:val="none"/>
          <w:lang w:eastAsia="zh-CN"/>
        </w:rPr>
        <w:t>月</w:t>
      </w:r>
      <w:r>
        <w:rPr>
          <w:rFonts w:hint="eastAsia" w:ascii="仿宋_GB2312" w:hAnsi="仿宋_GB2312" w:eastAsia="仿宋_GB2312" w:cs="仿宋_GB2312"/>
          <w:bCs/>
          <w:color w:val="auto"/>
          <w:sz w:val="32"/>
          <w:szCs w:val="32"/>
          <w:highlight w:val="none"/>
          <w:lang w:val="en-US" w:eastAsia="zh-CN"/>
        </w:rPr>
        <w:t>25</w:t>
      </w:r>
      <w:r>
        <w:rPr>
          <w:rFonts w:hint="eastAsia" w:ascii="仿宋_GB2312" w:hAnsi="仿宋_GB2312" w:eastAsia="仿宋_GB2312" w:cs="仿宋_GB2312"/>
          <w:bCs/>
          <w:color w:val="auto"/>
          <w:sz w:val="32"/>
          <w:szCs w:val="32"/>
          <w:highlight w:val="none"/>
          <w:lang w:eastAsia="zh-CN"/>
        </w:rPr>
        <w:t>日</w:t>
      </w:r>
      <w:r>
        <w:rPr>
          <w:rFonts w:hint="eastAsia" w:ascii="仿宋_GB2312" w:hAnsi="仿宋_GB2312" w:eastAsia="仿宋_GB2312" w:cs="仿宋_GB2312"/>
          <w:bCs/>
          <w:color w:val="auto"/>
          <w:sz w:val="32"/>
          <w:szCs w:val="32"/>
        </w:rPr>
        <w:t>对当事人</w:t>
      </w:r>
      <w:r>
        <w:rPr>
          <w:rFonts w:hint="eastAsia" w:ascii="仿宋_GB2312" w:hAnsi="仿宋_GB2312" w:eastAsia="仿宋_GB2312" w:cs="仿宋_GB2312"/>
          <w:bCs/>
          <w:color w:val="auto"/>
          <w:sz w:val="32"/>
          <w:szCs w:val="32"/>
          <w:lang w:eastAsia="zh-CN"/>
        </w:rPr>
        <w:t>涉嫌经营</w:t>
      </w:r>
      <w:r>
        <w:rPr>
          <w:rFonts w:hint="eastAsia" w:ascii="仿宋_GB2312" w:hAnsi="仿宋_GB2312" w:eastAsia="仿宋_GB2312" w:cs="仿宋_GB2312"/>
          <w:bCs/>
          <w:color w:val="auto"/>
          <w:sz w:val="32"/>
          <w:szCs w:val="32"/>
          <w:lang w:val="en-US" w:eastAsia="zh-CN"/>
        </w:rPr>
        <w:t>农药残留含量</w:t>
      </w:r>
      <w:r>
        <w:rPr>
          <w:rFonts w:hint="eastAsia" w:ascii="仿宋_GB2312" w:hAnsi="仿宋_GB2312" w:eastAsia="仿宋_GB2312" w:cs="仿宋_GB2312"/>
          <w:bCs/>
          <w:color w:val="auto"/>
          <w:sz w:val="32"/>
          <w:szCs w:val="32"/>
          <w:lang w:eastAsia="zh-CN"/>
        </w:rPr>
        <w:t>超过食品安全标准限量的食品</w:t>
      </w:r>
      <w:r>
        <w:rPr>
          <w:rFonts w:hint="eastAsia" w:ascii="仿宋_GB2312" w:hAnsi="仿宋_GB2312" w:eastAsia="仿宋_GB2312" w:cs="仿宋_GB2312"/>
          <w:bCs/>
          <w:color w:val="auto"/>
          <w:sz w:val="32"/>
          <w:szCs w:val="32"/>
        </w:rPr>
        <w:t>的行为进行立案调查。</w:t>
      </w:r>
    </w:p>
    <w:p w14:paraId="11D644F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经查实，当事人</w:t>
      </w:r>
      <w:r>
        <w:rPr>
          <w:rFonts w:hint="eastAsia" w:ascii="仿宋_GB2312" w:hAnsi="仿宋_GB2312" w:eastAsia="仿宋_GB2312" w:cs="仿宋_GB2312"/>
          <w:bCs/>
          <w:color w:val="auto"/>
          <w:sz w:val="32"/>
          <w:szCs w:val="32"/>
          <w:lang w:val="en-US" w:eastAsia="zh-CN"/>
        </w:rPr>
        <w:t>于</w:t>
      </w:r>
      <w:r>
        <w:rPr>
          <w:rFonts w:hint="eastAsia" w:ascii="仿宋_GB2312" w:hAnsi="仿宋_GB2312" w:eastAsia="仿宋_GB2312" w:cs="仿宋_GB2312"/>
          <w:bCs/>
          <w:color w:val="auto"/>
          <w:sz w:val="32"/>
          <w:szCs w:val="32"/>
          <w:lang w:eastAsia="zh-CN"/>
        </w:rPr>
        <w:t>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lang w:eastAsia="zh-CN"/>
        </w:rPr>
        <w:t>年</w:t>
      </w: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lang w:eastAsia="zh-CN"/>
        </w:rPr>
        <w:t>月</w:t>
      </w:r>
      <w:r>
        <w:rPr>
          <w:rFonts w:hint="eastAsia" w:ascii="仿宋_GB2312" w:hAnsi="仿宋_GB2312" w:eastAsia="仿宋_GB2312" w:cs="仿宋_GB2312"/>
          <w:bCs/>
          <w:color w:val="auto"/>
          <w:sz w:val="32"/>
          <w:szCs w:val="32"/>
          <w:lang w:val="en-US" w:eastAsia="zh-CN"/>
        </w:rPr>
        <w:t>13</w:t>
      </w:r>
      <w:r>
        <w:rPr>
          <w:rFonts w:hint="eastAsia" w:ascii="仿宋_GB2312" w:hAnsi="仿宋_GB2312" w:eastAsia="仿宋_GB2312" w:cs="仿宋_GB2312"/>
          <w:bCs/>
          <w:color w:val="auto"/>
          <w:sz w:val="32"/>
          <w:szCs w:val="32"/>
          <w:lang w:eastAsia="zh-CN"/>
        </w:rPr>
        <w:t>日</w:t>
      </w:r>
      <w:r>
        <w:rPr>
          <w:rFonts w:hint="eastAsia" w:ascii="仿宋_GB2312" w:hAnsi="仿宋_GB2312" w:eastAsia="仿宋_GB2312" w:cs="仿宋_GB2312"/>
          <w:bCs/>
          <w:color w:val="auto"/>
          <w:sz w:val="32"/>
          <w:szCs w:val="32"/>
          <w:lang w:val="en-US" w:eastAsia="zh-CN"/>
        </w:rPr>
        <w:t>购进青椒15kg用于销售，购进单价为*元/kg，以16元/kg的价格销售3.4kg给广西民生中检联检测有限公司抽样人员送检;以10元/kg的价格销售给其他顾客共计6.6kg，剩余5kg被当事人自行处理。上述青椒的平均销售单价为12.04元/kg。上述青椒经广西民生中检联检测有限公司抽样检验</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检验结论：经抽样检验，噻虫胺项目不符合GB 2763-2021《食品安全国家标准 食品中农药最大残留限量》要求，检验结论为不合格。</w:t>
      </w:r>
      <w:r>
        <w:rPr>
          <w:rFonts w:hint="eastAsia" w:ascii="仿宋_GB2312" w:hAnsi="仿宋_GB2312" w:eastAsia="仿宋_GB2312" w:cs="仿宋_GB2312"/>
          <w:bCs/>
          <w:color w:val="auto"/>
          <w:sz w:val="32"/>
          <w:szCs w:val="32"/>
          <w:lang w:eastAsia="zh-CN"/>
        </w:rPr>
        <w:t>上述食品货值金额为</w:t>
      </w:r>
      <w:r>
        <w:rPr>
          <w:rFonts w:hint="eastAsia" w:ascii="仿宋_GB2312" w:hAnsi="仿宋_GB2312" w:eastAsia="仿宋_GB2312" w:cs="仿宋_GB2312"/>
          <w:bCs/>
          <w:color w:val="auto"/>
          <w:sz w:val="32"/>
          <w:szCs w:val="32"/>
          <w:lang w:val="en-US" w:eastAsia="zh-CN"/>
        </w:rPr>
        <w:t>180.6</w:t>
      </w:r>
      <w:r>
        <w:rPr>
          <w:rFonts w:hint="eastAsia" w:ascii="仿宋_GB2312" w:hAnsi="仿宋_GB2312" w:eastAsia="仿宋_GB2312" w:cs="仿宋_GB2312"/>
          <w:bCs/>
          <w:color w:val="auto"/>
          <w:sz w:val="32"/>
          <w:szCs w:val="32"/>
          <w:lang w:eastAsia="zh-CN"/>
        </w:rPr>
        <w:t>元，</w:t>
      </w:r>
      <w:r>
        <w:rPr>
          <w:rFonts w:hint="eastAsia" w:ascii="仿宋_GB2312" w:hAnsi="仿宋_GB2312" w:eastAsia="仿宋_GB2312" w:cs="仿宋_GB2312"/>
          <w:bCs/>
          <w:color w:val="auto"/>
          <w:sz w:val="32"/>
          <w:szCs w:val="32"/>
          <w:u w:val="none"/>
          <w:lang w:val="en-US" w:eastAsia="zh-CN"/>
        </w:rPr>
        <w:t>营业性收入为120.4元</w:t>
      </w:r>
      <w:r>
        <w:rPr>
          <w:rFonts w:hint="eastAsia" w:ascii="仿宋_GB2312" w:hAnsi="仿宋_GB2312" w:eastAsia="仿宋_GB2312" w:cs="仿宋_GB2312"/>
          <w:bCs/>
          <w:color w:val="auto"/>
          <w:sz w:val="32"/>
          <w:szCs w:val="32"/>
          <w:lang w:eastAsia="zh-CN"/>
        </w:rPr>
        <w:t>。</w:t>
      </w:r>
    </w:p>
    <w:p w14:paraId="1070AA8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u w:val="none"/>
          <w:lang w:val="en-US" w:eastAsia="zh-CN"/>
        </w:rPr>
        <w:t>当事人在采购上述青椒时未查验供货商的资质证明及食品合格证明文件，未建立食品进货查验记录，也未保存相关进货票据。</w:t>
      </w:r>
    </w:p>
    <w:p w14:paraId="07FF0A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上述事实，主要有以下证据证明：</w:t>
      </w:r>
    </w:p>
    <w:p w14:paraId="585371E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1.《营业执照》复印件1份</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李喜乐</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身份证复印件1份</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证明当事人的主体资格</w:t>
      </w:r>
      <w:r>
        <w:rPr>
          <w:rFonts w:hint="eastAsia" w:ascii="仿宋_GB2312" w:hAnsi="仿宋_GB2312" w:eastAsia="仿宋_GB2312" w:cs="仿宋_GB2312"/>
          <w:bCs/>
          <w:color w:val="auto"/>
          <w:sz w:val="32"/>
          <w:szCs w:val="32"/>
          <w:lang w:val="en-US" w:eastAsia="zh-CN"/>
        </w:rPr>
        <w:t>和经营者的身份信息</w:t>
      </w:r>
      <w:r>
        <w:rPr>
          <w:rFonts w:hint="eastAsia" w:ascii="仿宋_GB2312" w:hAnsi="仿宋_GB2312" w:eastAsia="仿宋_GB2312" w:cs="仿宋_GB2312"/>
          <w:bCs/>
          <w:color w:val="auto"/>
          <w:sz w:val="32"/>
          <w:szCs w:val="32"/>
        </w:rPr>
        <w:t>。</w:t>
      </w:r>
    </w:p>
    <w:p w14:paraId="0C30E0F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2.现场笔录1份，</w:t>
      </w:r>
      <w:r>
        <w:rPr>
          <w:rFonts w:hint="eastAsia" w:ascii="仿宋_GB2312" w:hAnsi="仿宋_GB2312" w:eastAsia="仿宋_GB2312" w:cs="仿宋_GB2312"/>
          <w:bCs/>
          <w:color w:val="auto"/>
          <w:sz w:val="32"/>
          <w:szCs w:val="32"/>
          <w:lang w:val="en-US" w:eastAsia="zh-CN"/>
        </w:rPr>
        <w:t>证据提取单4份，</w:t>
      </w:r>
      <w:r>
        <w:rPr>
          <w:rFonts w:hint="eastAsia" w:ascii="仿宋_GB2312" w:hAnsi="仿宋_GB2312" w:eastAsia="仿宋_GB2312" w:cs="仿宋_GB2312"/>
          <w:bCs/>
          <w:color w:val="auto"/>
          <w:sz w:val="32"/>
          <w:szCs w:val="32"/>
        </w:rPr>
        <w:t>询问笔录1份，检验报告</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份，</w:t>
      </w:r>
      <w:r>
        <w:rPr>
          <w:rFonts w:hint="eastAsia" w:ascii="仿宋_GB2312" w:hAnsi="仿宋_GB2312" w:eastAsia="仿宋_GB2312" w:cs="仿宋_GB2312"/>
          <w:bCs/>
          <w:color w:val="auto"/>
          <w:sz w:val="32"/>
          <w:szCs w:val="32"/>
          <w:highlight w:val="none"/>
          <w:lang w:eastAsia="zh-CN"/>
        </w:rPr>
        <w:t>《食品安全抽样检验抽样单（食用农产品）》复印件</w:t>
      </w:r>
      <w:r>
        <w:rPr>
          <w:rFonts w:hint="eastAsia" w:ascii="仿宋_GB2312" w:hAnsi="仿宋_GB2312" w:eastAsia="仿宋_GB2312" w:cs="仿宋_GB2312"/>
          <w:bCs/>
          <w:color w:val="auto"/>
          <w:sz w:val="32"/>
          <w:szCs w:val="32"/>
          <w:highlight w:val="none"/>
          <w:lang w:val="en-US" w:eastAsia="zh-CN"/>
        </w:rPr>
        <w:t>1份，</w:t>
      </w:r>
      <w:r>
        <w:rPr>
          <w:rFonts w:hint="eastAsia" w:ascii="仿宋_GB2312" w:hAnsi="仿宋_GB2312" w:eastAsia="仿宋_GB2312" w:cs="仿宋_GB2312"/>
          <w:bCs/>
          <w:color w:val="auto"/>
          <w:sz w:val="32"/>
          <w:szCs w:val="32"/>
          <w:highlight w:val="none"/>
          <w:lang w:eastAsia="zh-CN"/>
        </w:rPr>
        <w:t>《食品安全抽样检验告知书》复印件</w:t>
      </w:r>
      <w:r>
        <w:rPr>
          <w:rFonts w:hint="eastAsia" w:ascii="仿宋_GB2312" w:hAnsi="仿宋_GB2312" w:eastAsia="仿宋_GB2312" w:cs="仿宋_GB2312"/>
          <w:bCs/>
          <w:color w:val="auto"/>
          <w:sz w:val="32"/>
          <w:szCs w:val="32"/>
          <w:highlight w:val="none"/>
          <w:lang w:val="en-US" w:eastAsia="zh-CN"/>
        </w:rPr>
        <w:t>1份，</w:t>
      </w:r>
      <w:r>
        <w:rPr>
          <w:rFonts w:hint="eastAsia" w:ascii="仿宋_GB2312" w:hAnsi="仿宋_GB2312" w:eastAsia="仿宋_GB2312" w:cs="仿宋_GB2312"/>
          <w:bCs/>
          <w:color w:val="auto"/>
          <w:sz w:val="32"/>
          <w:szCs w:val="32"/>
          <w:lang w:val="en-US" w:eastAsia="zh-CN"/>
        </w:rPr>
        <w:t>《食品安全抽样检验结果通知书》1份，</w:t>
      </w:r>
      <w:r>
        <w:rPr>
          <w:rFonts w:hint="eastAsia" w:ascii="仿宋_GB2312" w:hAnsi="仿宋_GB2312" w:eastAsia="仿宋_GB2312" w:cs="仿宋_GB2312"/>
          <w:bCs/>
          <w:color w:val="auto"/>
          <w:sz w:val="32"/>
          <w:szCs w:val="32"/>
        </w:rPr>
        <w:t>证明当事人存在</w:t>
      </w:r>
      <w:r>
        <w:rPr>
          <w:rFonts w:hint="eastAsia" w:ascii="仿宋_GB2312" w:hAnsi="仿宋_GB2312" w:eastAsia="仿宋_GB2312" w:cs="仿宋_GB2312"/>
          <w:bCs/>
          <w:color w:val="auto"/>
          <w:sz w:val="32"/>
          <w:szCs w:val="32"/>
          <w:lang w:val="en-US" w:eastAsia="zh-CN"/>
        </w:rPr>
        <w:t>经营噻虫胺项目不符合GB 2763-2021《食品安全国家标准 食品中最大残留限量》要求的青椒，且</w:t>
      </w:r>
      <w:r>
        <w:rPr>
          <w:rFonts w:hint="eastAsia" w:ascii="仿宋_GB2312" w:hAnsi="仿宋_GB2312" w:eastAsia="仿宋_GB2312" w:cs="仿宋_GB2312"/>
          <w:bCs/>
          <w:color w:val="auto"/>
          <w:sz w:val="32"/>
          <w:szCs w:val="32"/>
          <w:u w:val="none"/>
          <w:lang w:val="en-US" w:eastAsia="zh-CN"/>
        </w:rPr>
        <w:t>在采购上述青椒时未查验供货商的资质证明及食品合格证明文件，未建立食品进货查验记录，也未保存相关进货票据</w:t>
      </w:r>
      <w:r>
        <w:rPr>
          <w:rFonts w:hint="eastAsia" w:ascii="仿宋_GB2312" w:hAnsi="仿宋_GB2312" w:eastAsia="仿宋_GB2312" w:cs="仿宋_GB2312"/>
          <w:bCs/>
          <w:color w:val="auto"/>
          <w:sz w:val="32"/>
          <w:szCs w:val="32"/>
          <w:lang w:val="en-US" w:eastAsia="zh-CN"/>
        </w:rPr>
        <w:t>的事实</w:t>
      </w:r>
      <w:r>
        <w:rPr>
          <w:rFonts w:hint="eastAsia" w:ascii="仿宋_GB2312" w:hAnsi="仿宋_GB2312" w:eastAsia="仿宋_GB2312" w:cs="仿宋_GB2312"/>
          <w:bCs/>
          <w:color w:val="auto"/>
          <w:sz w:val="32"/>
          <w:szCs w:val="32"/>
        </w:rPr>
        <w:t>。</w:t>
      </w:r>
    </w:p>
    <w:p w14:paraId="764CE839">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color w:val="auto"/>
          <w:sz w:val="32"/>
          <w:szCs w:val="32"/>
          <w:u w:val="none"/>
          <w:lang w:val="en-US" w:eastAsia="zh-CN"/>
        </w:rPr>
        <w:t>《行政处罚决定书》（</w:t>
      </w:r>
      <w:r>
        <w:rPr>
          <w:rFonts w:hint="eastAsia" w:ascii="仿宋_GB2312" w:hAnsi="仿宋_GB2312" w:eastAsia="仿宋_GB2312" w:cs="仿宋_GB2312"/>
          <w:color w:val="auto"/>
          <w:sz w:val="32"/>
          <w:szCs w:val="32"/>
          <w:u w:val="none"/>
          <w:lang w:eastAsia="zh-CN"/>
        </w:rPr>
        <w:t>柳北市监处罚〔202</w:t>
      </w:r>
      <w:r>
        <w:rPr>
          <w:rFonts w:hint="eastAsia" w:hAnsi="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lang w:eastAsia="zh-CN"/>
        </w:rPr>
        <w:t>〕</w:t>
      </w:r>
      <w:r>
        <w:rPr>
          <w:rFonts w:hint="eastAsia" w:hAnsi="仿宋_GB2312" w:cs="仿宋_GB2312"/>
          <w:color w:val="auto"/>
          <w:sz w:val="32"/>
          <w:szCs w:val="32"/>
          <w:u w:val="none"/>
          <w:lang w:val="en-US" w:eastAsia="zh-CN"/>
        </w:rPr>
        <w:t>93</w:t>
      </w:r>
      <w:r>
        <w:rPr>
          <w:rFonts w:hint="eastAsia" w:ascii="仿宋_GB2312" w:hAnsi="仿宋_GB2312" w:eastAsia="仿宋_GB2312" w:cs="仿宋_GB2312"/>
          <w:color w:val="auto"/>
          <w:sz w:val="32"/>
          <w:szCs w:val="32"/>
          <w:u w:val="none"/>
          <w:lang w:eastAsia="zh-CN"/>
        </w:rPr>
        <w:t>号</w:t>
      </w:r>
      <w:r>
        <w:rPr>
          <w:rFonts w:hint="eastAsia" w:ascii="仿宋_GB2312" w:hAnsi="仿宋_GB2312" w:eastAsia="仿宋_GB2312" w:cs="仿宋_GB2312"/>
          <w:color w:val="auto"/>
          <w:sz w:val="32"/>
          <w:szCs w:val="32"/>
          <w:u w:val="none"/>
          <w:lang w:val="en-US" w:eastAsia="zh-CN"/>
        </w:rPr>
        <w:t>）复印件1份，证明当事</w:t>
      </w:r>
      <w:r>
        <w:rPr>
          <w:rFonts w:hint="eastAsia" w:ascii="仿宋_GB2312" w:hAnsi="Times New Roman" w:eastAsia="仿宋_GB2312" w:cs="仿宋_GB2312"/>
          <w:color w:val="auto"/>
          <w:sz w:val="32"/>
          <w:szCs w:val="32"/>
          <w:u w:val="none"/>
          <w:lang w:val="en-US" w:eastAsia="zh-CN"/>
        </w:rPr>
        <w:t>人因</w:t>
      </w:r>
      <w:r>
        <w:rPr>
          <w:rFonts w:hint="eastAsia" w:ascii="仿宋_GB2312" w:hAnsi="仿宋_GB2312" w:eastAsia="仿宋_GB2312" w:cs="仿宋_GB2312"/>
          <w:color w:val="auto"/>
          <w:spacing w:val="0"/>
          <w:sz w:val="32"/>
          <w:szCs w:val="32"/>
          <w:u w:val="none"/>
          <w:lang w:val="en-US" w:eastAsia="zh-CN"/>
        </w:rPr>
        <w:t>未按规定履行进货查验义务</w:t>
      </w:r>
      <w:r>
        <w:rPr>
          <w:rFonts w:hint="eastAsia" w:hAnsi="仿宋_GB2312" w:cs="仿宋_GB2312"/>
          <w:color w:val="auto"/>
          <w:spacing w:val="0"/>
          <w:sz w:val="32"/>
          <w:szCs w:val="32"/>
          <w:u w:val="none"/>
          <w:lang w:val="en-US" w:eastAsia="zh-CN"/>
        </w:rPr>
        <w:t>及</w:t>
      </w:r>
      <w:r>
        <w:rPr>
          <w:rFonts w:hint="eastAsia" w:ascii="仿宋_GB2312" w:hAnsi="仿宋_GB2312" w:eastAsia="仿宋_GB2312" w:cs="仿宋_GB2312"/>
          <w:color w:val="auto"/>
          <w:sz w:val="32"/>
          <w:szCs w:val="32"/>
          <w:u w:val="none"/>
          <w:lang w:eastAsia="zh-CN"/>
        </w:rPr>
        <w:t>经营</w:t>
      </w:r>
      <w:r>
        <w:rPr>
          <w:rFonts w:hint="eastAsia" w:ascii="仿宋_GB2312" w:hAnsi="仿宋_GB2312" w:eastAsia="仿宋_GB2312" w:cs="仿宋_GB2312"/>
          <w:color w:val="auto"/>
          <w:sz w:val="32"/>
          <w:szCs w:val="32"/>
          <w:u w:val="none"/>
          <w:lang w:val="en-US" w:eastAsia="zh-CN"/>
        </w:rPr>
        <w:t>农药残留含量</w:t>
      </w:r>
      <w:r>
        <w:rPr>
          <w:rFonts w:hint="eastAsia" w:ascii="仿宋_GB2312" w:hAnsi="仿宋_GB2312" w:eastAsia="仿宋_GB2312" w:cs="仿宋_GB2312"/>
          <w:color w:val="auto"/>
          <w:sz w:val="32"/>
          <w:szCs w:val="32"/>
          <w:u w:val="none"/>
          <w:lang w:eastAsia="zh-CN"/>
        </w:rPr>
        <w:t>超过食品安全标准限量的食品，曾于</w:t>
      </w:r>
      <w:r>
        <w:rPr>
          <w:rFonts w:hint="eastAsia" w:ascii="仿宋_GB2312" w:hAnsi="仿宋_GB2312" w:eastAsia="仿宋_GB2312" w:cs="仿宋_GB2312"/>
          <w:color w:val="auto"/>
          <w:sz w:val="32"/>
          <w:szCs w:val="32"/>
          <w:u w:val="none"/>
          <w:lang w:val="en-US" w:eastAsia="zh-CN"/>
        </w:rPr>
        <w:t>202</w:t>
      </w:r>
      <w:r>
        <w:rPr>
          <w:rFonts w:hint="eastAsia" w:hAnsi="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lang w:val="en-US" w:eastAsia="zh-CN"/>
        </w:rPr>
        <w:t>年</w:t>
      </w:r>
      <w:r>
        <w:rPr>
          <w:rFonts w:hint="eastAsia" w:hAnsi="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lang w:val="en-US" w:eastAsia="zh-CN"/>
        </w:rPr>
        <w:t>月</w:t>
      </w:r>
      <w:r>
        <w:rPr>
          <w:rFonts w:hint="eastAsia" w:hAnsi="仿宋_GB2312" w:cs="仿宋_GB2312"/>
          <w:color w:val="auto"/>
          <w:sz w:val="32"/>
          <w:szCs w:val="32"/>
          <w:u w:val="none"/>
          <w:lang w:val="en-US" w:eastAsia="zh-CN"/>
        </w:rPr>
        <w:t>19</w:t>
      </w:r>
      <w:r>
        <w:rPr>
          <w:rFonts w:hint="eastAsia" w:ascii="仿宋_GB2312" w:hAnsi="仿宋_GB2312" w:eastAsia="仿宋_GB2312" w:cs="仿宋_GB2312"/>
          <w:color w:val="auto"/>
          <w:sz w:val="32"/>
          <w:szCs w:val="32"/>
          <w:u w:val="none"/>
          <w:lang w:val="en-US" w:eastAsia="zh-CN"/>
        </w:rPr>
        <w:t>日被我局责令改正，并作出行政处罚</w:t>
      </w:r>
      <w:r>
        <w:rPr>
          <w:rFonts w:hint="eastAsia" w:hAnsi="仿宋_GB2312" w:cs="仿宋_GB2312"/>
          <w:color w:val="auto"/>
          <w:sz w:val="32"/>
          <w:szCs w:val="32"/>
          <w:u w:val="none"/>
          <w:lang w:val="en-US" w:eastAsia="zh-CN"/>
        </w:rPr>
        <w:t>。</w:t>
      </w:r>
    </w:p>
    <w:p w14:paraId="1CC5E8F2">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以上证据1-2均由经营者签名认可。</w:t>
      </w:r>
    </w:p>
    <w:p w14:paraId="1668A2C2">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Cs/>
          <w:color w:val="auto"/>
          <w:kern w:val="2"/>
          <w:sz w:val="32"/>
          <w:szCs w:val="32"/>
          <w:lang w:val="en-US" w:eastAsia="zh-CN" w:bidi="ar-SA"/>
        </w:rPr>
        <w:t>我局于2026年2月12日向当事人送达了《行政处罚告知书》（柳北市监罚告〔2026〕23号），告知当事人我局拟作出行政处罚的事实、理由、依据、处罚内容及享有的权利。当事人在法定期限内未提出陈述、申辩。</w:t>
      </w:r>
    </w:p>
    <w:p w14:paraId="0387C5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当事人采购上述青椒时</w:t>
      </w:r>
      <w:r>
        <w:rPr>
          <w:rFonts w:hint="default" w:ascii="Times New Roman" w:hAnsi="Times New Roman" w:eastAsia="仿宋_GB2312" w:cs="Times New Roman"/>
          <w:color w:val="auto"/>
          <w:sz w:val="32"/>
          <w:szCs w:val="32"/>
          <w:highlight w:val="none"/>
          <w:u w:val="none"/>
          <w:lang w:eastAsia="zh-CN"/>
        </w:rPr>
        <w:t>未查验供货商的资质证明及食品合格证明文件的行为</w:t>
      </w:r>
      <w:r>
        <w:rPr>
          <w:rFonts w:hint="eastAsia" w:ascii="仿宋_GB2312" w:hAnsi="仿宋_GB2312" w:eastAsia="仿宋_GB2312" w:cs="仿宋_GB2312"/>
          <w:color w:val="auto"/>
          <w:sz w:val="32"/>
          <w:szCs w:val="32"/>
          <w:highlight w:val="none"/>
          <w:u w:val="none"/>
          <w:lang w:eastAsia="zh-CN"/>
        </w:rPr>
        <w:t>，违反了《中华人民共和国食品安全法》第五十三条第一款的规定，属于</w:t>
      </w:r>
      <w:r>
        <w:rPr>
          <w:rFonts w:hint="eastAsia" w:ascii="仿宋_GB2312" w:hAnsi="仿宋_GB2312" w:eastAsia="仿宋_GB2312" w:cs="仿宋_GB2312"/>
          <w:bCs/>
          <w:color w:val="auto"/>
          <w:kern w:val="0"/>
          <w:sz w:val="32"/>
          <w:szCs w:val="32"/>
          <w:highlight w:val="none"/>
          <w:lang w:val="en-US" w:eastAsia="zh-CN" w:bidi="ar-SA"/>
        </w:rPr>
        <w:t>未按规定履行进货查验义务的行为。</w:t>
      </w:r>
    </w:p>
    <w:p w14:paraId="5A24DD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当事人采购上述青椒时</w:t>
      </w:r>
      <w:r>
        <w:rPr>
          <w:rFonts w:hint="eastAsia" w:ascii="仿宋_GB2312" w:hAnsi="仿宋_GB2312" w:eastAsia="仿宋_GB2312" w:cs="仿宋_GB2312"/>
          <w:bCs/>
          <w:color w:val="auto"/>
          <w:sz w:val="32"/>
          <w:szCs w:val="32"/>
          <w:u w:val="none"/>
          <w:lang w:val="en-US" w:eastAsia="zh-CN"/>
        </w:rPr>
        <w:t>未建立食品进货查验记录，也未保存相关进货票据的行为，违反了《中华人民共和国食品安全法》</w:t>
      </w:r>
      <w:r>
        <w:rPr>
          <w:rFonts w:hint="eastAsia" w:ascii="仿宋_GB2312" w:hAnsi="仿宋_GB2312" w:eastAsia="仿宋_GB2312" w:cs="仿宋_GB2312"/>
          <w:color w:val="auto"/>
          <w:sz w:val="32"/>
          <w:szCs w:val="32"/>
          <w:highlight w:val="none"/>
          <w:u w:val="none"/>
          <w:lang w:eastAsia="zh-CN"/>
        </w:rPr>
        <w:t>第六十五条的规定，属于</w:t>
      </w:r>
      <w:r>
        <w:rPr>
          <w:rFonts w:hint="eastAsia" w:ascii="仿宋_GB2312" w:hAnsi="仿宋_GB2312" w:eastAsia="仿宋_GB2312" w:cs="仿宋_GB2312"/>
          <w:color w:val="auto"/>
          <w:sz w:val="32"/>
          <w:szCs w:val="32"/>
        </w:rPr>
        <w:t>未按规定</w:t>
      </w:r>
      <w:r>
        <w:rPr>
          <w:rFonts w:hint="eastAsia" w:ascii="仿宋_GB2312" w:hAnsi="仿宋_GB2312" w:eastAsia="仿宋_GB2312" w:cs="仿宋_GB2312"/>
          <w:color w:val="auto"/>
          <w:sz w:val="32"/>
          <w:szCs w:val="32"/>
          <w:lang w:eastAsia="zh-CN"/>
        </w:rPr>
        <w:t>建立食用农产品进货查验记录及</w:t>
      </w:r>
      <w:r>
        <w:rPr>
          <w:rFonts w:hint="eastAsia" w:ascii="仿宋_GB2312" w:hAnsi="仿宋_GB2312" w:eastAsia="仿宋_GB2312" w:cs="仿宋_GB2312"/>
          <w:color w:val="auto"/>
          <w:sz w:val="32"/>
          <w:szCs w:val="32"/>
          <w:highlight w:val="none"/>
          <w:u w:val="none"/>
          <w:lang w:eastAsia="zh-CN"/>
        </w:rPr>
        <w:t>保存相关凭证的行为。</w:t>
      </w:r>
    </w:p>
    <w:p w14:paraId="23E39C92">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Cs/>
          <w:color w:val="auto"/>
          <w:sz w:val="32"/>
          <w:szCs w:val="32"/>
          <w:highlight w:val="none"/>
        </w:rPr>
        <w:t>当事人</w:t>
      </w:r>
      <w:r>
        <w:rPr>
          <w:rFonts w:hint="eastAsia" w:ascii="仿宋_GB2312" w:hAnsi="仿宋_GB2312" w:eastAsia="仿宋_GB2312" w:cs="仿宋_GB2312"/>
          <w:bCs/>
          <w:color w:val="auto"/>
          <w:sz w:val="32"/>
          <w:szCs w:val="32"/>
          <w:highlight w:val="none"/>
          <w:lang w:eastAsia="zh-CN"/>
        </w:rPr>
        <w:t>经营</w:t>
      </w:r>
      <w:r>
        <w:rPr>
          <w:rFonts w:hint="eastAsia" w:ascii="仿宋_GB2312" w:hAnsi="仿宋_GB2312" w:eastAsia="仿宋_GB2312" w:cs="仿宋_GB2312"/>
          <w:bCs/>
          <w:color w:val="auto"/>
          <w:sz w:val="32"/>
          <w:szCs w:val="32"/>
          <w:highlight w:val="none"/>
        </w:rPr>
        <w:t>上述</w:t>
      </w:r>
      <w:r>
        <w:rPr>
          <w:rFonts w:hint="eastAsia" w:ascii="仿宋_GB2312" w:hAnsi="仿宋_GB2312" w:eastAsia="仿宋_GB2312" w:cs="仿宋_GB2312"/>
          <w:bCs/>
          <w:color w:val="auto"/>
          <w:sz w:val="32"/>
          <w:szCs w:val="32"/>
          <w:highlight w:val="none"/>
          <w:lang w:val="en-US" w:eastAsia="zh-CN"/>
        </w:rPr>
        <w:t>青椒</w:t>
      </w:r>
      <w:r>
        <w:rPr>
          <w:rFonts w:hint="eastAsia" w:ascii="仿宋_GB2312" w:hAnsi="仿宋_GB2312" w:eastAsia="仿宋_GB2312" w:cs="仿宋_GB2312"/>
          <w:bCs/>
          <w:color w:val="auto"/>
          <w:sz w:val="32"/>
          <w:szCs w:val="32"/>
          <w:highlight w:val="none"/>
        </w:rPr>
        <w:t>的行为，违反了《中华人民共和国食品安全法》</w:t>
      </w:r>
      <w:r>
        <w:rPr>
          <w:rFonts w:hint="eastAsia" w:ascii="仿宋_GB2312" w:hAnsi="仿宋_GB2312" w:eastAsia="仿宋_GB2312" w:cs="仿宋_GB2312"/>
          <w:color w:val="auto"/>
          <w:sz w:val="32"/>
          <w:szCs w:val="32"/>
          <w:highlight w:val="none"/>
          <w:u w:val="none"/>
        </w:rPr>
        <w:t>第</w:t>
      </w:r>
      <w:r>
        <w:rPr>
          <w:rFonts w:hint="eastAsia" w:ascii="仿宋_GB2312" w:hAnsi="仿宋_GB2312" w:eastAsia="仿宋_GB2312" w:cs="仿宋_GB2312"/>
          <w:color w:val="auto"/>
          <w:sz w:val="32"/>
          <w:szCs w:val="32"/>
          <w:highlight w:val="none"/>
          <w:u w:val="none"/>
          <w:lang w:eastAsia="zh-CN"/>
        </w:rPr>
        <w:t>三十四</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第一款</w:t>
      </w:r>
      <w:r>
        <w:rPr>
          <w:rFonts w:hint="eastAsia" w:ascii="仿宋_GB2312" w:hAnsi="仿宋_GB2312" w:eastAsia="仿宋_GB2312" w:cs="仿宋_GB2312"/>
          <w:color w:val="auto"/>
          <w:sz w:val="32"/>
          <w:szCs w:val="32"/>
          <w:highlight w:val="none"/>
          <w:u w:val="none"/>
        </w:rPr>
        <w:t>第二项的规定</w:t>
      </w:r>
      <w:r>
        <w:rPr>
          <w:rFonts w:hint="eastAsia" w:ascii="仿宋_GB2312" w:hAnsi="仿宋_GB2312" w:eastAsia="仿宋_GB2312" w:cs="仿宋_GB2312"/>
          <w:bCs/>
          <w:color w:val="auto"/>
          <w:sz w:val="32"/>
          <w:szCs w:val="32"/>
          <w:highlight w:val="none"/>
        </w:rPr>
        <w:t>，属于</w:t>
      </w:r>
      <w:r>
        <w:rPr>
          <w:rFonts w:hint="eastAsia" w:ascii="仿宋_GB2312" w:hAnsi="仿宋_GB2312" w:eastAsia="仿宋_GB2312" w:cs="仿宋_GB2312"/>
          <w:bCs/>
          <w:color w:val="auto"/>
          <w:sz w:val="32"/>
          <w:szCs w:val="32"/>
          <w:highlight w:val="none"/>
          <w:lang w:eastAsia="zh-CN"/>
        </w:rPr>
        <w:t>经营</w:t>
      </w:r>
      <w:r>
        <w:rPr>
          <w:rFonts w:hint="eastAsia" w:ascii="仿宋_GB2312" w:hAnsi="仿宋_GB2312" w:eastAsia="仿宋_GB2312" w:cs="仿宋_GB2312"/>
          <w:color w:val="auto"/>
          <w:sz w:val="32"/>
          <w:szCs w:val="32"/>
          <w:highlight w:val="none"/>
          <w:u w:val="none"/>
          <w:lang w:eastAsia="zh-CN"/>
        </w:rPr>
        <w:t>农药残留</w:t>
      </w:r>
      <w:r>
        <w:rPr>
          <w:rFonts w:hint="eastAsia" w:ascii="仿宋_GB2312" w:hAnsi="仿宋_GB2312" w:eastAsia="仿宋_GB2312" w:cs="仿宋_GB2312"/>
          <w:bCs/>
          <w:color w:val="auto"/>
          <w:sz w:val="32"/>
          <w:szCs w:val="32"/>
          <w:highlight w:val="none"/>
          <w:lang w:val="en-US" w:eastAsia="zh-CN"/>
        </w:rPr>
        <w:t>含量超过食品安全标准限量的食品</w:t>
      </w:r>
      <w:r>
        <w:rPr>
          <w:rFonts w:hint="eastAsia" w:ascii="仿宋_GB2312" w:hAnsi="仿宋_GB2312" w:eastAsia="仿宋_GB2312" w:cs="仿宋_GB2312"/>
          <w:bCs/>
          <w:color w:val="auto"/>
          <w:sz w:val="32"/>
          <w:szCs w:val="32"/>
          <w:highlight w:val="none"/>
        </w:rPr>
        <w:t>的行为</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pacing w:val="0"/>
          <w:sz w:val="32"/>
          <w:szCs w:val="32"/>
          <w:highlight w:val="none"/>
          <w:u w:val="none"/>
          <w:lang w:val="en-US" w:eastAsia="zh-CN"/>
        </w:rPr>
        <w:t>本案</w:t>
      </w:r>
      <w:r>
        <w:rPr>
          <w:rFonts w:hint="eastAsia" w:ascii="仿宋_GB2312" w:hAnsi="仿宋_GB2312" w:eastAsia="仿宋_GB2312" w:cs="仿宋_GB2312"/>
          <w:b w:val="0"/>
          <w:bCs w:val="0"/>
          <w:color w:val="auto"/>
          <w:sz w:val="32"/>
          <w:szCs w:val="32"/>
          <w:highlight w:val="none"/>
          <w:u w:val="none"/>
          <w:lang w:eastAsia="zh-CN"/>
        </w:rPr>
        <w:t>货值金额为</w:t>
      </w:r>
      <w:r>
        <w:rPr>
          <w:rFonts w:hint="eastAsia" w:ascii="仿宋_GB2312" w:hAnsi="仿宋_GB2312" w:eastAsia="仿宋_GB2312" w:cs="仿宋_GB2312"/>
          <w:bCs/>
          <w:color w:val="auto"/>
          <w:sz w:val="32"/>
          <w:szCs w:val="32"/>
          <w:lang w:val="en-US" w:eastAsia="zh-CN"/>
        </w:rPr>
        <w:t>180.6</w:t>
      </w:r>
      <w:r>
        <w:rPr>
          <w:rFonts w:hint="eastAsia" w:ascii="仿宋_GB2312" w:hAnsi="仿宋_GB2312" w:eastAsia="仿宋_GB2312" w:cs="仿宋_GB2312"/>
          <w:b w:val="0"/>
          <w:bCs w:val="0"/>
          <w:color w:val="auto"/>
          <w:sz w:val="32"/>
          <w:szCs w:val="32"/>
          <w:highlight w:val="none"/>
          <w:u w:val="none"/>
          <w:lang w:eastAsia="zh-CN"/>
        </w:rPr>
        <w:t>元，违法所得</w:t>
      </w:r>
      <w:r>
        <w:rPr>
          <w:rFonts w:hint="eastAsia" w:ascii="仿宋_GB2312" w:hAnsi="仿宋_GB2312" w:eastAsia="仿宋_GB2312" w:cs="仿宋_GB2312"/>
          <w:b w:val="0"/>
          <w:bCs w:val="0"/>
          <w:color w:val="auto"/>
          <w:sz w:val="32"/>
          <w:szCs w:val="32"/>
          <w:highlight w:val="none"/>
          <w:u w:val="none"/>
          <w:lang w:val="en-US" w:eastAsia="zh-CN"/>
        </w:rPr>
        <w:t>120.4</w:t>
      </w:r>
      <w:r>
        <w:rPr>
          <w:rFonts w:hint="eastAsia" w:ascii="仿宋_GB2312" w:hAnsi="仿宋_GB2312" w:eastAsia="仿宋_GB2312" w:cs="仿宋_GB2312"/>
          <w:b w:val="0"/>
          <w:bCs w:val="0"/>
          <w:color w:val="auto"/>
          <w:sz w:val="32"/>
          <w:szCs w:val="32"/>
          <w:highlight w:val="none"/>
          <w:u w:val="none"/>
          <w:lang w:eastAsia="zh-CN"/>
        </w:rPr>
        <w:t>元。</w:t>
      </w:r>
    </w:p>
    <w:p w14:paraId="247545B9">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spacing w:val="0"/>
          <w:sz w:val="32"/>
          <w:szCs w:val="32"/>
          <w:u w:val="none"/>
          <w:lang w:val="en-US" w:eastAsia="zh-CN"/>
        </w:rPr>
        <w:t>当事人</w:t>
      </w:r>
      <w:r>
        <w:rPr>
          <w:rFonts w:hint="eastAsia" w:ascii="仿宋_GB2312" w:hAnsi="仿宋_GB2312" w:eastAsia="仿宋_GB2312" w:cs="仿宋_GB2312"/>
          <w:color w:val="auto"/>
          <w:sz w:val="32"/>
          <w:szCs w:val="32"/>
          <w:u w:val="none"/>
          <w:lang w:eastAsia="zh-CN"/>
        </w:rPr>
        <w:t>的经营场所为</w:t>
      </w:r>
      <w:r>
        <w:rPr>
          <w:rFonts w:hint="eastAsia" w:ascii="仿宋_GB2312" w:hAnsi="仿宋_GB2312" w:eastAsia="仿宋_GB2312" w:cs="仿宋_GB2312"/>
          <w:color w:val="auto"/>
          <w:sz w:val="32"/>
          <w:szCs w:val="32"/>
          <w:highlight w:val="none"/>
          <w:u w:val="none"/>
          <w:lang w:eastAsia="zh-CN"/>
        </w:rPr>
        <w:t>柳州市北站市场内</w:t>
      </w:r>
      <w:r>
        <w:rPr>
          <w:rFonts w:hint="eastAsia" w:ascii="仿宋_GB2312" w:hAnsi="仿宋_GB2312" w:eastAsia="仿宋_GB2312" w:cs="仿宋_GB2312"/>
          <w:bCs/>
          <w:color w:val="auto"/>
          <w:sz w:val="32"/>
          <w:szCs w:val="32"/>
          <w:u w:val="none"/>
          <w:lang w:eastAsia="zh-CN"/>
        </w:rPr>
        <w:t>的固定摊点</w:t>
      </w:r>
      <w:r>
        <w:rPr>
          <w:rFonts w:hint="eastAsia" w:ascii="仿宋_GB2312" w:hAnsi="仿宋_GB2312" w:eastAsia="仿宋_GB2312" w:cs="仿宋_GB2312"/>
          <w:color w:val="auto"/>
          <w:spacing w:val="0"/>
          <w:sz w:val="32"/>
          <w:szCs w:val="32"/>
          <w:u w:val="none"/>
          <w:lang w:val="en-US" w:eastAsia="zh-CN"/>
        </w:rPr>
        <w:t>，根据《广西壮族自治区食品安全条例》第八十五条第二款的规定</w:t>
      </w:r>
      <w:r>
        <w:rPr>
          <w:rFonts w:hint="eastAsia" w:ascii="仿宋_GB2312" w:hAnsi="仿宋_GB2312" w:eastAsia="仿宋_GB2312" w:cs="仿宋_GB2312"/>
          <w:color w:val="auto"/>
          <w:kern w:val="2"/>
          <w:sz w:val="32"/>
          <w:szCs w:val="32"/>
          <w:highlight w:val="none"/>
          <w:u w:val="none"/>
          <w:lang w:val="en-US" w:eastAsia="zh-CN" w:bidi="ar-SA"/>
        </w:rPr>
        <w:t>，</w:t>
      </w:r>
      <w:r>
        <w:rPr>
          <w:rFonts w:hint="default" w:ascii="仿宋_GB2312" w:hAnsi="仿宋_GB2312" w:eastAsia="仿宋_GB2312" w:cs="仿宋_GB2312"/>
          <w:color w:val="auto"/>
          <w:kern w:val="2"/>
          <w:sz w:val="32"/>
          <w:szCs w:val="32"/>
          <w:highlight w:val="none"/>
          <w:u w:val="none"/>
          <w:lang w:val="en-US" w:eastAsia="zh-CN" w:bidi="ar-SA"/>
        </w:rPr>
        <w:t>当事人属于食品摊贩，因此当事人的上述行为构成《广西壮族自治区食品小作坊小餐饮和食品摊贩管理条例》第二十八条第一款第五项规定的违法行为。</w:t>
      </w:r>
    </w:p>
    <w:p w14:paraId="650F8A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640" w:firstLineChars="200"/>
        <w:textAlignment w:val="auto"/>
        <w:rPr>
          <w:rFonts w:hint="eastAsia" w:ascii="仿宋_GB2312" w:hAnsi="Times New Roman"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当事人</w:t>
      </w:r>
      <w:r>
        <w:rPr>
          <w:rFonts w:hint="eastAsia" w:ascii="仿宋_GB2312" w:hAnsi="仿宋_GB2312" w:eastAsia="仿宋_GB2312" w:cs="仿宋_GB2312"/>
          <w:color w:val="auto"/>
          <w:sz w:val="32"/>
          <w:szCs w:val="32"/>
          <w:highlight w:val="none"/>
          <w:u w:val="none"/>
          <w:lang w:eastAsia="zh-CN"/>
        </w:rPr>
        <w:t>经营</w:t>
      </w:r>
      <w:r>
        <w:rPr>
          <w:rFonts w:hint="eastAsia" w:ascii="仿宋_GB2312" w:hAnsi="仿宋_GB2312" w:eastAsia="仿宋_GB2312" w:cs="仿宋_GB2312"/>
          <w:bCs/>
          <w:color w:val="auto"/>
          <w:sz w:val="32"/>
          <w:szCs w:val="32"/>
          <w:highlight w:val="none"/>
          <w:lang w:val="en-US" w:eastAsia="zh-CN"/>
        </w:rPr>
        <w:t>上述</w:t>
      </w:r>
      <w:r>
        <w:rPr>
          <w:rFonts w:hint="eastAsia" w:ascii="仿宋_GB2312" w:hAnsi="仿宋_GB2312" w:eastAsia="仿宋_GB2312" w:cs="仿宋_GB2312"/>
          <w:color w:val="auto"/>
          <w:spacing w:val="0"/>
          <w:sz w:val="32"/>
          <w:szCs w:val="32"/>
          <w:highlight w:val="none"/>
          <w:u w:val="none"/>
          <w:lang w:val="en-US" w:eastAsia="zh-CN"/>
        </w:rPr>
        <w:t>青椒货值金额较低</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u w:val="none"/>
        </w:rPr>
        <w:t>在案件调查过程中积极配合我局调查，如实陈述违法事实并主动提供相关证据材料，具有市场监管总局《关于规范市场监督管理行政处罚裁量权的指导意见》第十四条第二</w:t>
      </w:r>
      <w:r>
        <w:rPr>
          <w:rFonts w:hint="eastAsia" w:ascii="仿宋_GB2312" w:hAnsi="仿宋_GB2312" w:eastAsia="仿宋_GB2312" w:cs="仿宋_GB2312"/>
          <w:color w:val="auto"/>
          <w:sz w:val="32"/>
          <w:szCs w:val="32"/>
          <w:highlight w:val="none"/>
          <w:u w:val="none"/>
        </w:rPr>
        <w:t>项规定的可以依法从轻或者减轻行政处罚的情形，依据《中华人民共和国行政处罚法》第五条、</w:t>
      </w:r>
      <w:r>
        <w:rPr>
          <w:rFonts w:hint="eastAsia" w:ascii="仿宋_GB2312" w:hAnsi="仿宋_GB2312" w:eastAsia="仿宋_GB2312" w:cs="仿宋_GB2312"/>
          <w:color w:val="auto"/>
          <w:sz w:val="32"/>
          <w:szCs w:val="32"/>
          <w:u w:val="none"/>
        </w:rPr>
        <w:t>第六条的规定，</w:t>
      </w:r>
      <w:r>
        <w:rPr>
          <w:rFonts w:hint="eastAsia" w:ascii="仿宋_GB2312" w:hAnsi="Times New Roman" w:eastAsia="仿宋_GB2312" w:cs="仿宋_GB2312"/>
          <w:color w:val="auto"/>
          <w:sz w:val="32"/>
          <w:szCs w:val="32"/>
          <w:u w:val="none"/>
          <w:lang w:val="en-US" w:eastAsia="zh-CN"/>
        </w:rPr>
        <w:t>我局决定对当事人从轻行政处罚。</w:t>
      </w:r>
    </w:p>
    <w:p w14:paraId="035E310A">
      <w:pPr>
        <w:pStyle w:val="2"/>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hint="eastAsia" w:hAnsi="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当事人因未按规定履行进货查验义务及</w:t>
      </w:r>
      <w:r>
        <w:rPr>
          <w:rFonts w:hint="eastAsia" w:ascii="仿宋_GB2312" w:hAnsi="仿宋_GB2312" w:eastAsia="仿宋_GB2312" w:cs="仿宋_GB2312"/>
          <w:color w:val="auto"/>
          <w:sz w:val="32"/>
          <w:szCs w:val="32"/>
          <w:u w:val="none"/>
          <w:lang w:eastAsia="zh-CN"/>
        </w:rPr>
        <w:t>经营</w:t>
      </w:r>
      <w:r>
        <w:rPr>
          <w:rFonts w:hint="eastAsia" w:ascii="仿宋_GB2312" w:hAnsi="仿宋_GB2312" w:eastAsia="仿宋_GB2312" w:cs="仿宋_GB2312"/>
          <w:color w:val="auto"/>
          <w:sz w:val="32"/>
          <w:szCs w:val="32"/>
          <w:u w:val="none"/>
          <w:lang w:val="en-US" w:eastAsia="zh-CN"/>
        </w:rPr>
        <w:t>农药残留含量</w:t>
      </w:r>
      <w:r>
        <w:rPr>
          <w:rFonts w:hint="eastAsia" w:ascii="仿宋_GB2312" w:hAnsi="仿宋_GB2312" w:eastAsia="仿宋_GB2312" w:cs="仿宋_GB2312"/>
          <w:color w:val="auto"/>
          <w:sz w:val="32"/>
          <w:szCs w:val="32"/>
          <w:u w:val="none"/>
          <w:lang w:eastAsia="zh-CN"/>
        </w:rPr>
        <w:t>超过食品安全标准限量的食品的行为，于</w:t>
      </w:r>
      <w:r>
        <w:rPr>
          <w:rFonts w:hint="eastAsia" w:ascii="仿宋_GB2312" w:hAnsi="仿宋_GB2312" w:eastAsia="仿宋_GB2312" w:cs="仿宋_GB2312"/>
          <w:color w:val="auto"/>
          <w:sz w:val="32"/>
          <w:szCs w:val="32"/>
          <w:u w:val="none"/>
          <w:lang w:val="en-US" w:eastAsia="zh-CN"/>
        </w:rPr>
        <w:t>2024年9月19日被我局依法责令立即改正，并作出行政处罚（柳北市监处罚〔2024〕93号行政处罚决定书），因此本次当事人的上述行为，属于逾期不改正的行为。依据</w:t>
      </w:r>
      <w:r>
        <w:rPr>
          <w:rFonts w:hint="eastAsia" w:ascii="仿宋_GB2312" w:hAnsi="仿宋_GB2312" w:eastAsia="仿宋_GB2312" w:cs="仿宋_GB2312"/>
          <w:color w:val="auto"/>
          <w:sz w:val="32"/>
          <w:szCs w:val="32"/>
          <w:u w:val="none"/>
          <w:lang w:eastAsia="zh-CN"/>
        </w:rPr>
        <w:t>《中华人民共和国食品安全法》第一百二十七条、</w:t>
      </w:r>
      <w:r>
        <w:rPr>
          <w:rFonts w:hint="eastAsia" w:ascii="仿宋_GB2312" w:hAnsi="仿宋_GB2312" w:eastAsia="仿宋_GB2312" w:cs="仿宋_GB2312"/>
          <w:color w:val="auto"/>
          <w:sz w:val="32"/>
          <w:szCs w:val="32"/>
          <w:u w:val="none"/>
          <w:lang w:val="en-US" w:eastAsia="zh-CN"/>
        </w:rPr>
        <w:t>《广西壮族自治区食品小作坊小餐饮和食品摊贩管理条例》第四十三条、</w:t>
      </w:r>
      <w:r>
        <w:rPr>
          <w:rFonts w:hint="eastAsia" w:ascii="仿宋_GB2312" w:hAnsi="仿宋_GB2312" w:eastAsia="仿宋_GB2312" w:cs="仿宋_GB2312"/>
          <w:color w:val="auto"/>
          <w:sz w:val="32"/>
          <w:szCs w:val="32"/>
          <w:u w:val="none"/>
          <w:lang w:eastAsia="zh-CN"/>
        </w:rPr>
        <w:t>《中华人民共和国行政处罚法》</w:t>
      </w:r>
      <w:r>
        <w:rPr>
          <w:rFonts w:hint="eastAsia" w:ascii="仿宋_GB2312" w:hAnsi="仿宋_GB2312" w:eastAsia="仿宋_GB2312" w:cs="仿宋_GB2312"/>
          <w:b w:val="0"/>
          <w:bCs w:val="0"/>
          <w:i w:val="0"/>
          <w:iCs w:val="0"/>
          <w:caps w:val="0"/>
          <w:color w:val="auto"/>
          <w:spacing w:val="0"/>
          <w:sz w:val="32"/>
          <w:szCs w:val="32"/>
          <w:shd w:val="clear" w:fill="FFFFFF"/>
        </w:rPr>
        <w:t>第二十八条</w:t>
      </w:r>
      <w:r>
        <w:rPr>
          <w:rFonts w:hint="eastAsia" w:ascii="仿宋_GB2312" w:hAnsi="仿宋_GB2312" w:eastAsia="仿宋_GB2312" w:cs="仿宋_GB2312"/>
          <w:b w:val="0"/>
          <w:bCs w:val="0"/>
          <w:i w:val="0"/>
          <w:iCs w:val="0"/>
          <w:caps w:val="0"/>
          <w:color w:val="auto"/>
          <w:spacing w:val="0"/>
          <w:sz w:val="32"/>
          <w:szCs w:val="32"/>
          <w:shd w:val="clear" w:fill="FFFFFF"/>
          <w:lang w:eastAsia="zh-CN"/>
        </w:rPr>
        <w:t>第二款</w:t>
      </w:r>
      <w:r>
        <w:rPr>
          <w:rFonts w:hint="eastAsia" w:ascii="仿宋_GB2312" w:hAnsi="仿宋_GB2312" w:eastAsia="仿宋_GB2312" w:cs="仿宋_GB2312"/>
          <w:color w:val="auto"/>
          <w:sz w:val="32"/>
          <w:szCs w:val="32"/>
          <w:u w:val="none"/>
        </w:rPr>
        <w:t>的规定，</w:t>
      </w:r>
      <w:r>
        <w:rPr>
          <w:rFonts w:hint="eastAsia" w:ascii="仿宋_GB2312" w:hAnsi="仿宋_GB2312" w:eastAsia="仿宋_GB2312" w:cs="仿宋_GB2312"/>
          <w:color w:val="auto"/>
          <w:sz w:val="32"/>
          <w:szCs w:val="32"/>
          <w:u w:val="none"/>
          <w:lang w:val="en-US" w:eastAsia="zh-CN"/>
        </w:rPr>
        <w:t>我局决定责令</w:t>
      </w:r>
      <w:r>
        <w:rPr>
          <w:rFonts w:hint="eastAsia" w:hAnsi="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u w:val="none"/>
          <w:lang w:val="en-US" w:eastAsia="zh-CN"/>
        </w:rPr>
        <w:t>立即改正上述违法行为，并给予</w:t>
      </w:r>
      <w:r>
        <w:rPr>
          <w:rFonts w:hint="eastAsia" w:hAnsi="仿宋_GB2312" w:cs="仿宋_GB2312"/>
          <w:color w:val="auto"/>
          <w:sz w:val="32"/>
          <w:szCs w:val="32"/>
          <w:u w:val="none"/>
          <w:lang w:val="en-US" w:eastAsia="zh-CN"/>
        </w:rPr>
        <w:t>以下</w:t>
      </w:r>
      <w:r>
        <w:rPr>
          <w:rFonts w:hint="eastAsia" w:ascii="仿宋_GB2312" w:hAnsi="仿宋_GB2312" w:eastAsia="仿宋_GB2312" w:cs="仿宋_GB2312"/>
          <w:color w:val="auto"/>
          <w:sz w:val="32"/>
          <w:szCs w:val="32"/>
          <w:u w:val="none"/>
          <w:lang w:val="en-US" w:eastAsia="zh-CN"/>
        </w:rPr>
        <w:t>行政处罚</w:t>
      </w:r>
      <w:r>
        <w:rPr>
          <w:rFonts w:hint="eastAsia" w:hAnsi="仿宋_GB2312" w:cs="仿宋_GB2312"/>
          <w:color w:val="auto"/>
          <w:sz w:val="32"/>
          <w:szCs w:val="32"/>
          <w:u w:val="none"/>
          <w:lang w:val="en-US" w:eastAsia="zh-CN"/>
        </w:rPr>
        <w:t>：</w:t>
      </w:r>
    </w:p>
    <w:p w14:paraId="4AC2D941">
      <w:pPr>
        <w:pStyle w:val="2"/>
        <w:keepNext w:val="0"/>
        <w:keepLines w:val="0"/>
        <w:pageBreakBefore w:val="0"/>
        <w:numPr>
          <w:ilvl w:val="0"/>
          <w:numId w:val="3"/>
        </w:numPr>
        <w:kinsoku/>
        <w:wordWrap/>
        <w:overflowPunct/>
        <w:topLinePunct w:val="0"/>
        <w:bidi w:val="0"/>
        <w:snapToGrid/>
        <w:spacing w:line="440" w:lineRule="exact"/>
        <w:ind w:firstLine="640" w:firstLineChars="200"/>
        <w:textAlignment w:val="auto"/>
        <w:rPr>
          <w:rFonts w:hint="eastAsia" w:hAnsi="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警告</w:t>
      </w:r>
      <w:r>
        <w:rPr>
          <w:rFonts w:hint="eastAsia" w:hAnsi="仿宋_GB2312" w:cs="仿宋_GB2312"/>
          <w:color w:val="auto"/>
          <w:sz w:val="32"/>
          <w:szCs w:val="32"/>
          <w:u w:val="none"/>
          <w:lang w:val="en-US" w:eastAsia="zh-CN"/>
        </w:rPr>
        <w:t>；</w:t>
      </w:r>
    </w:p>
    <w:p w14:paraId="048F178A">
      <w:pPr>
        <w:pStyle w:val="2"/>
        <w:keepNext w:val="0"/>
        <w:keepLines w:val="0"/>
        <w:pageBreakBefore w:val="0"/>
        <w:numPr>
          <w:ilvl w:val="0"/>
          <w:numId w:val="3"/>
        </w:numPr>
        <w:kinsoku/>
        <w:wordWrap/>
        <w:overflowPunct/>
        <w:topLinePunct w:val="0"/>
        <w:bidi w:val="0"/>
        <w:snapToGrid/>
        <w:spacing w:line="440" w:lineRule="exact"/>
        <w:ind w:firstLine="640" w:firstLineChars="200"/>
        <w:textAlignment w:val="auto"/>
        <w:rPr>
          <w:rFonts w:hint="eastAsia" w:hAnsi="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没收违法所得120.4元</w:t>
      </w:r>
      <w:r>
        <w:rPr>
          <w:rFonts w:hint="eastAsia" w:hAnsi="仿宋_GB2312" w:cs="仿宋_GB2312"/>
          <w:color w:val="auto"/>
          <w:sz w:val="32"/>
          <w:szCs w:val="32"/>
          <w:u w:val="none"/>
          <w:lang w:val="en-US" w:eastAsia="zh-CN"/>
        </w:rPr>
        <w:t>；</w:t>
      </w:r>
    </w:p>
    <w:p w14:paraId="212C45DF">
      <w:pPr>
        <w:pStyle w:val="2"/>
        <w:keepNext w:val="0"/>
        <w:keepLines w:val="0"/>
        <w:pageBreakBefore w:val="0"/>
        <w:numPr>
          <w:ilvl w:val="0"/>
          <w:numId w:val="3"/>
        </w:numPr>
        <w:kinsoku/>
        <w:wordWrap/>
        <w:overflowPunct/>
        <w:topLinePunct w:val="0"/>
        <w:bidi w:val="0"/>
        <w:snapToGrid/>
        <w:spacing w:line="440" w:lineRule="exact"/>
        <w:ind w:firstLine="640" w:firstLineChars="200"/>
        <w:textAlignment w:val="auto"/>
        <w:rPr>
          <w:rFonts w:hint="eastAsia" w:hAnsi="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罚款500元</w:t>
      </w:r>
      <w:r>
        <w:rPr>
          <w:rFonts w:hint="eastAsia" w:hAnsi="仿宋_GB2312" w:cs="仿宋_GB2312"/>
          <w:color w:val="auto"/>
          <w:sz w:val="32"/>
          <w:szCs w:val="32"/>
          <w:u w:val="none"/>
          <w:lang w:val="en-US" w:eastAsia="zh-CN"/>
        </w:rPr>
        <w:t>。</w:t>
      </w:r>
    </w:p>
    <w:p w14:paraId="7916691F">
      <w:pPr>
        <w:pStyle w:val="2"/>
        <w:keepNext w:val="0"/>
        <w:keepLines w:val="0"/>
        <w:pageBreakBefore w:val="0"/>
        <w:numPr>
          <w:ilvl w:val="0"/>
          <w:numId w:val="0"/>
        </w:numPr>
        <w:kinsoku/>
        <w:wordWrap/>
        <w:overflowPunct/>
        <w:topLinePunct w:val="0"/>
        <w:bidi w:val="0"/>
        <w:snapToGrid/>
        <w:spacing w:line="440" w:lineRule="exact"/>
        <w:textAlignment w:val="auto"/>
        <w:rPr>
          <w:rFonts w:hint="default" w:hAnsi="仿宋_GB2312" w:cs="仿宋_GB2312"/>
          <w:color w:val="auto"/>
          <w:sz w:val="32"/>
          <w:szCs w:val="32"/>
          <w:u w:val="none"/>
          <w:lang w:val="en-US" w:eastAsia="zh-CN"/>
        </w:rPr>
      </w:pPr>
      <w:r>
        <w:rPr>
          <w:rFonts w:hint="eastAsia" w:hAnsi="仿宋_GB2312" w:cs="仿宋_GB2312"/>
          <w:color w:val="auto"/>
          <w:sz w:val="32"/>
          <w:szCs w:val="32"/>
          <w:u w:val="none"/>
          <w:lang w:val="en-US" w:eastAsia="zh-CN"/>
        </w:rPr>
        <w:t xml:space="preserve">    </w:t>
      </w:r>
      <w:r>
        <w:rPr>
          <w:rFonts w:hint="eastAsia" w:hAnsi="仿宋_GB2312" w:cs="仿宋_GB2312"/>
          <w:color w:val="auto"/>
          <w:sz w:val="32"/>
          <w:szCs w:val="32"/>
          <w:u w:val="none"/>
          <w:lang w:val="en-US" w:eastAsia="zh-CN"/>
        </w:rPr>
        <w:t>上述罚没款合计620.4元。</w:t>
      </w:r>
    </w:p>
    <w:p w14:paraId="1D061F6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当事人应当自收到本行政处罚决定书之</w:t>
      </w:r>
      <w:r>
        <w:rPr>
          <w:rFonts w:hint="eastAsia" w:ascii="仿宋_GB2312" w:hAnsi="仿宋_GB2312" w:eastAsia="仿宋_GB2312" w:cs="仿宋_GB2312"/>
          <w:color w:val="auto"/>
          <w:spacing w:val="0"/>
          <w:sz w:val="32"/>
          <w:szCs w:val="32"/>
          <w:u w:val="none"/>
          <w:lang w:val="en-US" w:eastAsia="zh-CN"/>
        </w:rPr>
        <w:t>日起十五日内，</w:t>
      </w:r>
      <w:r>
        <w:rPr>
          <w:rFonts w:hint="eastAsia" w:ascii="仿宋_GB2312" w:hAnsi="仿宋_GB2312" w:eastAsia="仿宋_GB2312" w:cs="仿宋_GB2312"/>
          <w:color w:val="auto"/>
          <w:sz w:val="32"/>
          <w:szCs w:val="32"/>
          <w:u w:val="none"/>
        </w:rPr>
        <w:t>凭《广西壮族自治区非税收入电子缴款通知书》到中国建设银行缴纳</w:t>
      </w:r>
      <w:r>
        <w:rPr>
          <w:rFonts w:hint="eastAsia" w:ascii="仿宋_GB2312" w:hAnsi="仿宋_GB2312" w:eastAsia="仿宋_GB2312" w:cs="仿宋_GB2312"/>
          <w:color w:val="auto"/>
          <w:sz w:val="32"/>
          <w:szCs w:val="32"/>
          <w:u w:val="none"/>
          <w:lang w:eastAsia="zh-CN"/>
        </w:rPr>
        <w:t>上述款项</w:t>
      </w:r>
      <w:r>
        <w:rPr>
          <w:rFonts w:hint="eastAsia" w:ascii="仿宋_GB2312" w:hAnsi="仿宋_GB2312" w:eastAsia="仿宋_GB2312" w:cs="仿宋_GB2312"/>
          <w:color w:val="auto"/>
          <w:spacing w:val="0"/>
          <w:sz w:val="32"/>
          <w:szCs w:val="32"/>
          <w:u w:val="none"/>
          <w:lang w:val="en-US" w:eastAsia="zh-CN"/>
        </w:rPr>
        <w:t>。逾期不缴纳的，依据《中华人民共和国行政处罚法》第七十二条的规定，我局将依法申请人民法院强制执行。</w:t>
      </w:r>
    </w:p>
    <w:p w14:paraId="3E6E02B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当事人如不服本行政处罚决定，可在接到本行政处罚决定书之日起60日内向柳州市柳北区人民政府申请行政复议；也可以在6个月内依法向柳州市柳南区人民法院提起行政诉讼。申请行政复议或者提起行政诉讼期间，行政处罚不停止执行。</w:t>
      </w:r>
    </w:p>
    <w:p w14:paraId="4B3645B2">
      <w:pPr>
        <w:pStyle w:val="2"/>
        <w:keepNext w:val="0"/>
        <w:keepLines w:val="0"/>
        <w:pageBreakBefore w:val="0"/>
        <w:widowControl w:val="0"/>
        <w:kinsoku/>
        <w:wordWrap/>
        <w:overflowPunct/>
        <w:topLinePunct w:val="0"/>
        <w:bidi w:val="0"/>
        <w:snapToGrid/>
        <w:spacing w:line="440" w:lineRule="exact"/>
        <w:rPr>
          <w:rFonts w:hint="eastAsia" w:ascii="仿宋_GB2312" w:hAnsi="仿宋_GB2312" w:eastAsia="仿宋_GB2312" w:cs="仿宋_GB2312"/>
          <w:color w:val="auto"/>
          <w:sz w:val="32"/>
          <w:szCs w:val="32"/>
          <w:u w:val="none"/>
          <w:lang w:val="en-US" w:eastAsia="zh-CN"/>
        </w:rPr>
      </w:pPr>
    </w:p>
    <w:p w14:paraId="655EC5EF">
      <w:pPr>
        <w:pStyle w:val="2"/>
        <w:keepNext w:val="0"/>
        <w:keepLines w:val="0"/>
        <w:pageBreakBefore w:val="0"/>
        <w:widowControl w:val="0"/>
        <w:kinsoku/>
        <w:wordWrap/>
        <w:overflowPunct/>
        <w:topLinePunct w:val="0"/>
        <w:bidi w:val="0"/>
        <w:snapToGrid/>
        <w:spacing w:line="440" w:lineRule="exact"/>
        <w:rPr>
          <w:rFonts w:hint="eastAsia" w:ascii="仿宋_GB2312" w:hAnsi="仿宋_GB2312" w:eastAsia="仿宋_GB2312" w:cs="仿宋_GB2312"/>
          <w:color w:val="auto"/>
          <w:sz w:val="32"/>
          <w:szCs w:val="32"/>
          <w:u w:val="none"/>
          <w:lang w:val="en-US" w:eastAsia="zh-CN"/>
        </w:rPr>
      </w:pPr>
    </w:p>
    <w:p w14:paraId="1B963478">
      <w:pPr>
        <w:keepNext w:val="0"/>
        <w:keepLines w:val="0"/>
        <w:pageBreakBefore w:val="0"/>
        <w:widowControl w:val="0"/>
        <w:kinsoku/>
        <w:wordWrap/>
        <w:overflowPunct/>
        <w:topLinePunct w:val="0"/>
        <w:autoSpaceDE/>
        <w:autoSpaceDN/>
        <w:bidi w:val="0"/>
        <w:snapToGrid/>
        <w:spacing w:line="440" w:lineRule="exact"/>
        <w:ind w:left="0" w:leftChars="0" w:firstLine="640" w:firstLineChars="200"/>
        <w:jc w:val="right"/>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柳州市柳北区市场监督管理局</w:t>
      </w:r>
    </w:p>
    <w:p w14:paraId="680769E6">
      <w:pPr>
        <w:keepNext w:val="0"/>
        <w:keepLines w:val="0"/>
        <w:pageBreakBefore w:val="0"/>
        <w:widowControl w:val="0"/>
        <w:kinsoku/>
        <w:wordWrap/>
        <w:overflowPunct/>
        <w:topLinePunct w:val="0"/>
        <w:autoSpaceDE/>
        <w:autoSpaceDN/>
        <w:bidi w:val="0"/>
        <w:snapToGrid/>
        <w:spacing w:line="440" w:lineRule="exact"/>
        <w:ind w:left="0" w:leftChars="0" w:firstLine="640" w:firstLineChars="200"/>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2026年2月</w:t>
      </w:r>
      <w:r>
        <w:rPr>
          <w:rFonts w:hint="eastAsia" w:ascii="仿宋_GB2312" w:hAnsi="仿宋_GB2312" w:eastAsia="仿宋_GB2312" w:cs="仿宋_GB2312"/>
          <w:color w:val="auto"/>
          <w:sz w:val="32"/>
          <w:szCs w:val="32"/>
          <w:u w:val="none"/>
          <w:lang w:val="en-US" w:eastAsia="zh-CN"/>
        </w:rPr>
        <w:t>27日</w:t>
      </w:r>
    </w:p>
    <w:bookmarkEnd w:id="3"/>
    <w:p w14:paraId="2912952F">
      <w:pPr>
        <w:pStyle w:val="2"/>
        <w:rPr>
          <w:rFonts w:hint="eastAsia" w:ascii="仿宋_GB2312" w:hAnsi="仿宋_GB2312" w:eastAsia="仿宋_GB2312" w:cs="仿宋_GB2312"/>
          <w:color w:val="auto"/>
          <w:sz w:val="32"/>
          <w:szCs w:val="32"/>
          <w:u w:val="none"/>
          <w:lang w:val="en-US" w:eastAsia="zh-CN"/>
        </w:rPr>
      </w:pPr>
    </w:p>
    <w:p w14:paraId="27C5A29C">
      <w:pPr>
        <w:pStyle w:val="2"/>
        <w:rPr>
          <w:rFonts w:hint="eastAsia" w:ascii="仿宋_GB2312" w:hAnsi="仿宋_GB2312" w:eastAsia="仿宋_GB2312" w:cs="仿宋_GB2312"/>
          <w:color w:val="auto"/>
          <w:sz w:val="32"/>
          <w:szCs w:val="32"/>
          <w:u w:val="none"/>
          <w:lang w:val="en-US" w:eastAsia="zh-CN"/>
        </w:rPr>
      </w:pPr>
    </w:p>
    <w:p w14:paraId="0D65E578">
      <w:pPr>
        <w:pStyle w:val="2"/>
        <w:rPr>
          <w:rFonts w:hint="eastAsia" w:ascii="仿宋_GB2312" w:hAnsi="仿宋_GB2312" w:eastAsia="仿宋_GB2312" w:cs="仿宋_GB2312"/>
          <w:color w:val="auto"/>
          <w:sz w:val="32"/>
          <w:szCs w:val="32"/>
          <w:u w:val="none"/>
          <w:lang w:val="en-US" w:eastAsia="zh-CN"/>
        </w:rPr>
      </w:pPr>
    </w:p>
    <w:p w14:paraId="72415F50">
      <w:pPr>
        <w:pStyle w:val="2"/>
        <w:rPr>
          <w:rFonts w:hint="eastAsia" w:ascii="仿宋_GB2312" w:hAnsi="仿宋_GB2312" w:eastAsia="仿宋_GB2312" w:cs="仿宋_GB2312"/>
          <w:color w:val="auto"/>
          <w:sz w:val="32"/>
          <w:szCs w:val="32"/>
          <w:u w:val="none"/>
          <w:lang w:val="en-US" w:eastAsia="zh-CN"/>
        </w:rPr>
      </w:pPr>
    </w:p>
    <w:p w14:paraId="2083C5E6">
      <w:pPr>
        <w:pStyle w:val="2"/>
        <w:rPr>
          <w:rFonts w:hint="eastAsia" w:ascii="仿宋_GB2312" w:hAnsi="仿宋_GB2312" w:eastAsia="仿宋_GB2312" w:cs="仿宋_GB2312"/>
          <w:color w:val="auto"/>
          <w:sz w:val="32"/>
          <w:szCs w:val="32"/>
          <w:u w:val="none"/>
          <w:lang w:val="en-US" w:eastAsia="zh-CN"/>
        </w:rPr>
      </w:pPr>
    </w:p>
    <w:p w14:paraId="71688D3D">
      <w:pPr>
        <w:pStyle w:val="2"/>
        <w:rPr>
          <w:rFonts w:hint="eastAsia" w:ascii="仿宋_GB2312" w:hAnsi="仿宋_GB2312" w:eastAsia="仿宋_GB2312" w:cs="仿宋_GB2312"/>
          <w:color w:val="auto"/>
          <w:sz w:val="32"/>
          <w:szCs w:val="32"/>
          <w:u w:val="none"/>
          <w:lang w:val="en-US" w:eastAsia="zh-CN"/>
        </w:rPr>
      </w:pPr>
    </w:p>
    <w:p w14:paraId="7A6FAFFC">
      <w:pPr>
        <w:pStyle w:val="2"/>
        <w:rPr>
          <w:rFonts w:hint="eastAsia" w:ascii="仿宋_GB2312" w:hAnsi="仿宋_GB2312" w:eastAsia="仿宋_GB2312" w:cs="仿宋_GB2312"/>
          <w:color w:val="auto"/>
          <w:sz w:val="32"/>
          <w:szCs w:val="32"/>
          <w:u w:val="none"/>
          <w:lang w:val="en-US" w:eastAsia="zh-CN"/>
        </w:rPr>
      </w:pPr>
    </w:p>
    <w:p w14:paraId="19A3A758">
      <w:pPr>
        <w:pStyle w:val="2"/>
        <w:rPr>
          <w:rFonts w:hint="eastAsia" w:ascii="仿宋_GB2312" w:hAnsi="仿宋_GB2312" w:eastAsia="仿宋_GB2312" w:cs="仿宋_GB2312"/>
          <w:color w:val="auto"/>
          <w:sz w:val="32"/>
          <w:szCs w:val="32"/>
          <w:u w:val="none"/>
          <w:lang w:val="en-US" w:eastAsia="zh-CN"/>
        </w:rPr>
      </w:pPr>
    </w:p>
    <w:p w14:paraId="1776EF46">
      <w:pPr>
        <w:pStyle w:val="2"/>
        <w:rPr>
          <w:rFonts w:hint="eastAsia" w:ascii="仿宋_GB2312" w:hAnsi="仿宋_GB2312" w:eastAsia="仿宋_GB2312" w:cs="仿宋_GB2312"/>
          <w:color w:val="auto"/>
          <w:sz w:val="32"/>
          <w:szCs w:val="32"/>
          <w:u w:val="none"/>
          <w:lang w:val="en-US" w:eastAsia="zh-CN"/>
        </w:rPr>
      </w:pPr>
    </w:p>
    <w:p w14:paraId="1F47EACB">
      <w:pPr>
        <w:pStyle w:val="2"/>
        <w:rPr>
          <w:rFonts w:hint="eastAsia" w:ascii="仿宋_GB2312" w:hAnsi="仿宋_GB2312" w:eastAsia="仿宋_GB2312" w:cs="仿宋_GB2312"/>
          <w:color w:val="auto"/>
          <w:sz w:val="32"/>
          <w:szCs w:val="32"/>
          <w:u w:val="none"/>
          <w:lang w:val="en-US" w:eastAsia="zh-CN"/>
        </w:rPr>
      </w:pPr>
    </w:p>
    <w:p w14:paraId="1D17F027">
      <w:pPr>
        <w:pStyle w:val="2"/>
        <w:rPr>
          <w:rFonts w:hint="eastAsia" w:ascii="仿宋_GB2312" w:hAnsi="仿宋_GB2312" w:eastAsia="仿宋_GB2312" w:cs="仿宋_GB2312"/>
          <w:color w:val="auto"/>
          <w:sz w:val="32"/>
          <w:szCs w:val="32"/>
          <w:u w:val="none"/>
          <w:lang w:val="en-US" w:eastAsia="zh-CN"/>
        </w:rPr>
      </w:pPr>
    </w:p>
    <w:p w14:paraId="03A03570">
      <w:pPr>
        <w:pStyle w:val="2"/>
        <w:rPr>
          <w:rFonts w:hint="eastAsia" w:ascii="仿宋_GB2312" w:hAnsi="仿宋_GB2312" w:eastAsia="仿宋_GB2312" w:cs="仿宋_GB2312"/>
          <w:color w:val="auto"/>
          <w:sz w:val="32"/>
          <w:szCs w:val="32"/>
          <w:u w:val="none"/>
          <w:lang w:val="en-US" w:eastAsia="zh-CN"/>
        </w:rPr>
      </w:pPr>
    </w:p>
    <w:p w14:paraId="41A90F88">
      <w:pPr>
        <w:pStyle w:val="2"/>
        <w:rPr>
          <w:rFonts w:hint="eastAsia" w:ascii="仿宋_GB2312" w:hAnsi="仿宋_GB2312" w:eastAsia="仿宋_GB2312" w:cs="仿宋_GB2312"/>
          <w:color w:val="auto"/>
          <w:sz w:val="32"/>
          <w:szCs w:val="32"/>
          <w:u w:val="none"/>
          <w:lang w:val="en-US" w:eastAsia="zh-CN"/>
        </w:rPr>
      </w:pPr>
    </w:p>
    <w:p w14:paraId="16F19F66">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default" w:ascii="Times New Roman" w:hAnsi="Times New Roman" w:eastAsia="仿宋" w:cs="Times New Roman"/>
          <w:b w:val="0"/>
          <w:bCs w:val="0"/>
          <w:color w:val="auto"/>
          <w:sz w:val="32"/>
          <w:szCs w:val="32"/>
        </w:rPr>
      </w:pPr>
      <w:r>
        <w:rPr>
          <w:rFonts w:hint="eastAsia" w:ascii="黑体" w:hAnsi="黑体" w:eastAsia="黑体" w:cs="黑体"/>
          <w:b w:val="0"/>
          <w:bCs w:val="0"/>
          <w:color w:val="auto"/>
          <w:w w:val="98"/>
          <w:sz w:val="32"/>
          <w:szCs w:val="32"/>
          <w:lang w:eastAsia="zh-CN"/>
        </w:rPr>
        <w:t>（市场监督管理部门将依法向社会公开行政处罚决定信息）</w:t>
      </w:r>
    </w:p>
    <w:p w14:paraId="4397CA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pPr>
      <w:r>
        <w:rPr>
          <w:rFonts w:hint="eastAsia" w:ascii="仿宋_GB2312" w:hAnsi="仿宋_GB2312" w:eastAsia="仿宋_GB2312" w:cs="仿宋_GB2312"/>
          <w:color w:val="auto"/>
          <w:spacing w:val="0"/>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24130</wp:posOffset>
                </wp:positionV>
                <wp:extent cx="5665470" cy="6985"/>
                <wp:effectExtent l="0" t="0" r="0" b="0"/>
                <wp:wrapNone/>
                <wp:docPr id="2" name="直线 5"/>
                <wp:cNvGraphicFramePr/>
                <a:graphic xmlns:a="http://schemas.openxmlformats.org/drawingml/2006/main">
                  <a:graphicData uri="http://schemas.microsoft.com/office/word/2010/wordprocessingShape">
                    <wps:wsp>
                      <wps:cNvCnPr/>
                      <wps:spPr>
                        <a:xfrm>
                          <a:off x="0" y="0"/>
                          <a:ext cx="5665470" cy="698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6pt;margin-top:1.9pt;height:0.55pt;width:446.1pt;z-index:251659264;mso-width-relative:page;mso-height-relative:page;" filled="f" stroked="t" coordsize="21600,21600" o:gfxdata="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iusp1QAAAAYBAAAPAAAAAAAAAAEAIAAAACIAAABkcnMvZG93bnJldi54bWxQSwECFAAUAAAA&#10;CACHTuJAtb3TCPEBAADsAwAADgAAAAAAAAABACAAAAAk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32"/>
          <w:szCs w:val="32"/>
          <w:u w:val="none"/>
          <w:lang w:eastAsia="zh-CN"/>
        </w:rPr>
        <w:t>本文书一式三份，一份送达，一份归档</w:t>
      </w:r>
      <w:r>
        <w:rPr>
          <w:rFonts w:hint="eastAsia" w:ascii="仿宋_GB2312" w:hAnsi="仿宋_GB2312" w:eastAsia="仿宋_GB2312" w:cs="仿宋_GB2312"/>
          <w:color w:val="auto"/>
          <w:spacing w:val="0"/>
          <w:sz w:val="32"/>
          <w:szCs w:val="32"/>
          <w:u w:val="none"/>
        </w:rPr>
        <w:t>，一份</w:t>
      </w:r>
      <w:r>
        <w:rPr>
          <w:rFonts w:hint="eastAsia" w:ascii="仿宋_GB2312" w:hAnsi="仿宋_GB2312" w:eastAsia="仿宋_GB2312" w:cs="仿宋_GB2312"/>
          <w:color w:val="auto"/>
          <w:spacing w:val="0"/>
          <w:sz w:val="32"/>
          <w:szCs w:val="32"/>
          <w:u w:val="none"/>
          <w:lang w:eastAsia="zh-CN"/>
        </w:rPr>
        <w:t>办</w:t>
      </w:r>
      <w:r>
        <w:rPr>
          <w:rFonts w:hint="eastAsia" w:ascii="仿宋_GB2312" w:hAnsi="仿宋_GB2312" w:eastAsia="仿宋_GB2312" w:cs="仿宋_GB2312"/>
          <w:color w:val="000000" w:themeColor="text1"/>
          <w:spacing w:val="0"/>
          <w:sz w:val="32"/>
          <w:szCs w:val="32"/>
          <w:u w:val="none"/>
          <w:lang w:eastAsia="zh-CN"/>
          <w14:textFill>
            <w14:solidFill>
              <w14:schemeClr w14:val="tx1"/>
            </w14:solidFill>
          </w14:textFill>
        </w:rPr>
        <w:t>案机构</w:t>
      </w:r>
      <w:r>
        <w:rPr>
          <w:rFonts w:hint="eastAsia" w:ascii="仿宋_GB2312" w:hAnsi="仿宋_GB2312" w:eastAsia="仿宋_GB2312" w:cs="仿宋_GB2312"/>
          <w:color w:val="000000" w:themeColor="text1"/>
          <w:spacing w:val="0"/>
          <w:sz w:val="32"/>
          <w:szCs w:val="32"/>
          <w:u w:val="none"/>
          <w14:textFill>
            <w14:solidFill>
              <w14:schemeClr w14:val="tx1"/>
            </w14:solidFill>
          </w14:textFill>
        </w:rPr>
        <w:t>留存</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CD206"/>
    <w:multiLevelType w:val="singleLevel"/>
    <w:tmpl w:val="9CBCD206"/>
    <w:lvl w:ilvl="0" w:tentative="0">
      <w:start w:val="1"/>
      <w:numFmt w:val="decimal"/>
      <w:suff w:val="nothing"/>
      <w:lvlText w:val="%1、"/>
      <w:lvlJc w:val="left"/>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s>
  <w:rsids>
    <w:rsidRoot w:val="20F72F72"/>
    <w:rsid w:val="20F72F72"/>
    <w:rsid w:val="385C4143"/>
    <w:rsid w:val="4E3A4683"/>
    <w:rsid w:val="56035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2087</Words>
  <Characters>2269</Characters>
  <Lines>0</Lines>
  <Paragraphs>0</Paragraphs>
  <TotalTime>51</TotalTime>
  <ScaleCrop>false</ScaleCrop>
  <LinksUpToDate>false</LinksUpToDate>
  <CharactersWithSpaces>2305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2026-02-25T08:32:00Z</dcterms:created>
  <dc:creator>不知秋</dc:creator>
  <cp:lastModifiedBy>河谷镇</cp:lastModifiedBy>
  <dcterms:modified xsi:type="dcterms:W3CDTF">2026-02-27T09:06:59Z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C9890DE782A9432A8A4280CAF6EFAF31_11</vt:lpwstr>
  </property>
  <property fmtid="{D5CDD505-2E9C-101B-9397-08002B2CF9AE}" pid="4" name="KSOTemplateDocerSaveRecord">
    <vt:lpwstr>eyJoZGlkIjoiNjljYzBiNmJkNjNmYjA3MDkwNzQ4ZTM5NDc1MTY5NDgiLCJ1c2VySWQiOiI0OTg3NTAzNTcifQ==</vt:lpwstr>
  </property>
</Properties>
</file>