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EAEB">
      <w:pPr>
        <w:keepNext w:val="0"/>
        <w:keepLines w:val="0"/>
        <w:pageBreakBefore w:val="0"/>
        <w:numPr>
          <w:ilvl w:val="0"/>
          <w:numId w:val="2"/>
        </w:numPr>
        <w:kinsoku/>
        <w:wordWrap/>
        <w:overflowPunct/>
        <w:topLinePunct w:val="0"/>
        <w:bidi w:val="0"/>
        <w:spacing w:line="560" w:lineRule="exact"/>
        <w:jc w:val="center"/>
        <w:outlineLvl w:val="0"/>
        <w:rPr>
          <w:rFonts w:hint="default" w:ascii="Times New Roman" w:hAnsi="Times New Roman" w:eastAsia="方正小标宋简体" w:cs="Times New Roman"/>
          <w:color w:val="auto"/>
          <w:sz w:val="44"/>
          <w:szCs w:val="44"/>
        </w:rPr>
      </w:pPr>
      <w:bookmarkStart w:id="0" w:name="DYNAMIC—DWXX—tAj_dwmc"/>
      <w:r>
        <w:rPr>
          <w:rFonts w:hint="default" w:ascii="Times New Roman" w:hAnsi="Times New Roman" w:eastAsia="方正小标宋简体" w:cs="Times New Roman"/>
          <w:color w:val="auto"/>
          <w:sz w:val="44"/>
          <w:u w:val="none"/>
          <w:lang w:eastAsia="zh-CN"/>
        </w:rPr>
        <w:t>柳州市</w:t>
      </w:r>
      <w:r>
        <w:rPr>
          <w:rFonts w:hint="default" w:ascii="Times New Roman" w:hAnsi="Times New Roman" w:eastAsia="方正小标宋简体" w:cs="Times New Roman"/>
          <w:color w:val="auto"/>
          <w:sz w:val="44"/>
          <w:u w:val="none"/>
        </w:rPr>
        <w:t>柳北区市场监督管理局</w:t>
      </w:r>
      <w:bookmarkEnd w:id="0"/>
    </w:p>
    <w:p w14:paraId="1DA9212C">
      <w:pPr>
        <w:pStyle w:val="2"/>
        <w:keepNext w:val="0"/>
        <w:keepLines w:val="0"/>
        <w:pageBreakBefore w:val="0"/>
        <w:numPr>
          <w:ilvl w:val="0"/>
          <w:numId w:val="2"/>
        </w:numPr>
        <w:kinsoku/>
        <w:wordWrap/>
        <w:overflowPunct/>
        <w:topLinePunct w:val="0"/>
        <w:bidi w:val="0"/>
        <w:spacing w:before="0" w:after="0" w:line="560" w:lineRule="exact"/>
        <w:jc w:val="center"/>
        <w:rPr>
          <w:rFonts w:hint="default" w:ascii="Times New Roman" w:hAnsi="Times New Roman" w:eastAsia="方正小标宋简体" w:cs="Times New Roman"/>
          <w:color w:val="auto"/>
          <w:sz w:val="44"/>
          <w:szCs w:val="44"/>
        </w:rPr>
      </w:pPr>
      <w:bookmarkStart w:id="1" w:name="_Toc76683344"/>
      <w:r>
        <w:rPr>
          <w:rFonts w:hint="default" w:ascii="Times New Roman" w:hAnsi="Times New Roman" w:eastAsia="方正小标宋简体" w:cs="Times New Roman"/>
          <w:color w:val="auto"/>
          <w:sz w:val="44"/>
          <w:szCs w:val="44"/>
          <w:u w:val="none"/>
          <w:lang w:val="en-US"/>
        </w:rPr>
        <w:t>行政处罚</w:t>
      </w:r>
      <w:r>
        <w:rPr>
          <w:rFonts w:hint="default" w:ascii="Times New Roman" w:hAnsi="Times New Roman" w:eastAsia="方正小标宋简体" w:cs="Times New Roman"/>
          <w:color w:val="auto"/>
          <w:sz w:val="44"/>
          <w:szCs w:val="44"/>
          <w:u w:val="none"/>
          <w:lang w:val="en-US" w:eastAsia="zh-Hans"/>
        </w:rPr>
        <w:t>决定</w:t>
      </w:r>
      <w:r>
        <w:rPr>
          <w:rFonts w:hint="default" w:ascii="Times New Roman" w:hAnsi="Times New Roman" w:eastAsia="方正小标宋简体" w:cs="Times New Roman"/>
          <w:color w:val="auto"/>
          <w:sz w:val="44"/>
          <w:szCs w:val="44"/>
          <w:u w:val="none"/>
          <w:lang w:val="en-US"/>
        </w:rPr>
        <w:t>书</w:t>
      </w:r>
      <w:bookmarkEnd w:id="1"/>
    </w:p>
    <w:p w14:paraId="103103D1">
      <w:pPr>
        <w:keepNext w:val="0"/>
        <w:keepLines w:val="0"/>
        <w:pageBreakBefore w:val="0"/>
        <w:widowControl/>
        <w:kinsoku/>
        <w:wordWrap/>
        <w:overflowPunct/>
        <w:topLinePunct w:val="0"/>
        <w:bidi w:val="0"/>
        <w:snapToGrid w:val="0"/>
        <w:spacing w:line="560" w:lineRule="exact"/>
        <w:ind w:right="55"/>
        <w:jc w:val="center"/>
        <w:outlineLvl w:val="1"/>
        <w:rPr>
          <w:rFonts w:hint="default" w:ascii="Times New Roman" w:hAnsi="Times New Roman" w:eastAsia="仿宋_GB2312" w:cs="Times New Roman"/>
          <w:color w:val="auto"/>
          <w:sz w:val="32"/>
          <w:u w:val="none"/>
        </w:rPr>
      </w:pPr>
      <w:bookmarkStart w:id="2" w:name="tAj_wh"/>
      <w:r>
        <w:rPr>
          <w:rFonts w:hint="default" w:ascii="Times New Roman" w:hAnsi="Times New Roman" w:eastAsia="仿宋_GB2312" w:cs="Times New Roman"/>
          <w:color w:val="auto"/>
          <w:sz w:val="32"/>
          <w:u w:val="none"/>
        </w:rPr>
        <w:t>柳北市监处罚〔202</w:t>
      </w:r>
      <w:r>
        <w:rPr>
          <w:rFonts w:hint="eastAsia" w:ascii="Times New Roman" w:hAnsi="Times New Roman" w:eastAsia="仿宋_GB2312" w:cs="Times New Roman"/>
          <w:color w:val="auto"/>
          <w:sz w:val="32"/>
          <w:u w:val="none"/>
          <w:lang w:val="en-US" w:eastAsia="zh-CN"/>
        </w:rPr>
        <w:t>6</w:t>
      </w:r>
      <w:r>
        <w:rPr>
          <w:rFonts w:hint="default" w:ascii="Times New Roman" w:hAnsi="Times New Roman" w:eastAsia="仿宋_GB2312" w:cs="Times New Roman"/>
          <w:color w:val="auto"/>
          <w:sz w:val="32"/>
          <w:u w:val="none"/>
        </w:rPr>
        <w:t>〕</w:t>
      </w:r>
      <w:r>
        <w:rPr>
          <w:rFonts w:hint="eastAsia" w:ascii="Times New Roman" w:hAnsi="Times New Roman" w:eastAsia="仿宋_GB2312" w:cs="Times New Roman"/>
          <w:color w:val="auto"/>
          <w:sz w:val="32"/>
          <w:u w:val="none"/>
          <w:lang w:val="en-US" w:eastAsia="zh-CN"/>
        </w:rPr>
        <w:t>29</w:t>
      </w:r>
      <w:r>
        <w:rPr>
          <w:rFonts w:hint="default" w:ascii="Times New Roman" w:hAnsi="Times New Roman" w:eastAsia="仿宋_GB2312" w:cs="Times New Roman"/>
          <w:color w:val="auto"/>
          <w:sz w:val="32"/>
          <w:u w:val="none"/>
        </w:rPr>
        <w:t>号</w:t>
      </w:r>
      <w:bookmarkEnd w:id="2"/>
    </w:p>
    <w:p w14:paraId="7C5599C6">
      <w:pPr>
        <w:pStyle w:val="6"/>
        <w:keepNext w:val="0"/>
        <w:keepLines w:val="0"/>
        <w:pageBreakBefore w:val="0"/>
        <w:kinsoku/>
        <w:wordWrap/>
        <w:overflowPunct/>
        <w:topLinePunct w:val="0"/>
        <w:bidi w:val="0"/>
        <w:spacing w:line="560" w:lineRule="exact"/>
        <w:rPr>
          <w:rFonts w:hint="default" w:ascii="Times New Roman" w:hAnsi="Times New Roman" w:cs="Times New Roman"/>
          <w:color w:val="auto"/>
        </w:rPr>
      </w:pPr>
    </w:p>
    <w:p w14:paraId="682C42B6">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当事人：</w:t>
      </w:r>
      <w:r>
        <w:rPr>
          <w:rFonts w:hint="eastAsia" w:eastAsia="仿宋_GB2312" w:cs="Times New Roman"/>
          <w:color w:val="auto"/>
          <w:sz w:val="32"/>
          <w:szCs w:val="32"/>
          <w:u w:val="none"/>
          <w:lang w:val="en-US" w:eastAsia="zh-CN"/>
        </w:rPr>
        <w:t>柳</w:t>
      </w:r>
      <w:r>
        <w:rPr>
          <w:rFonts w:hint="default" w:ascii="Times New Roman" w:hAnsi="Times New Roman" w:eastAsia="仿宋_GB2312" w:cs="Times New Roman"/>
          <w:color w:val="auto"/>
          <w:sz w:val="32"/>
          <w:szCs w:val="32"/>
          <w:u w:val="none"/>
        </w:rPr>
        <w:t>州市柳北区桂结食品经营部</w:t>
      </w:r>
      <w:r>
        <w:rPr>
          <w:rFonts w:hint="eastAsia" w:ascii="Times New Roman" w:hAnsi="Times New Roman" w:eastAsia="仿宋_GB2312" w:cs="Times New Roman"/>
          <w:color w:val="auto"/>
          <w:sz w:val="32"/>
          <w:szCs w:val="32"/>
          <w:u w:val="none"/>
          <w:lang w:eastAsia="zh-CN"/>
        </w:rPr>
        <w:t>（个体工商户）</w:t>
      </w:r>
    </w:p>
    <w:p w14:paraId="7ED98399">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主体资格证照名称：</w:t>
      </w:r>
      <w:r>
        <w:rPr>
          <w:rFonts w:hint="default" w:ascii="Times New Roman" w:hAnsi="Times New Roman" w:eastAsia="仿宋_GB2312" w:cs="Times New Roman"/>
          <w:color w:val="auto"/>
          <w:sz w:val="32"/>
          <w:szCs w:val="32"/>
          <w:u w:val="none"/>
          <w:lang w:val="en-US" w:eastAsia="zh-CN"/>
        </w:rPr>
        <w:t>营业执照</w:t>
      </w:r>
    </w:p>
    <w:p w14:paraId="733EB180">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color w:val="auto"/>
          <w:sz w:val="32"/>
          <w:szCs w:val="32"/>
          <w:u w:val="none" w:color="auto"/>
          <w:lang w:val="en-US" w:eastAsia="zh-CN"/>
        </w:rPr>
        <w:t>统一社会信用代码：</w:t>
      </w:r>
      <w:r>
        <w:rPr>
          <w:rFonts w:hint="eastAsia" w:ascii="Times New Roman" w:hAnsi="Times New Roman" w:eastAsia="仿宋_GB2312" w:cs="Times New Roman"/>
          <w:color w:val="auto"/>
          <w:sz w:val="32"/>
          <w:szCs w:val="32"/>
          <w:u w:val="none"/>
          <w:lang w:val="en-US" w:eastAsia="zh-CN"/>
        </w:rPr>
        <w:t>92450205MA5QEH0L4T</w:t>
      </w:r>
    </w:p>
    <w:p w14:paraId="52271EC1">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经营场所：</w:t>
      </w:r>
      <w:r>
        <w:rPr>
          <w:rFonts w:hint="eastAsia" w:ascii="仿宋_GB2312" w:hAnsi="仿宋_GB2312" w:eastAsia="仿宋_GB2312" w:cs="仿宋_GB2312"/>
          <w:b w:val="0"/>
          <w:bCs w:val="0"/>
          <w:color w:val="auto"/>
          <w:sz w:val="32"/>
          <w:szCs w:val="32"/>
          <w:highlight w:val="none"/>
          <w:u w:val="none"/>
          <w:lang w:val="en-US" w:eastAsia="zh-CN"/>
        </w:rPr>
        <w:t>柳州市柳北区黄村新街市场内酸品行2-24号</w:t>
      </w:r>
      <w:r>
        <w:rPr>
          <w:rFonts w:hint="default" w:ascii="Times New Roman" w:hAnsi="Times New Roman" w:eastAsia="仿宋_GB2312" w:cs="Times New Roman"/>
          <w:color w:val="auto"/>
          <w:sz w:val="32"/>
          <w:szCs w:val="32"/>
          <w:u w:val="none" w:color="auto"/>
          <w:lang w:val="en-US" w:eastAsia="zh-CN"/>
        </w:rPr>
        <w:t xml:space="preserve"> </w:t>
      </w:r>
    </w:p>
    <w:p w14:paraId="0F91624F">
      <w:pPr>
        <w:pStyle w:val="6"/>
        <w:keepNext w:val="0"/>
        <w:keepLines w:val="0"/>
        <w:pageBreakBefore w:val="0"/>
        <w:widowControl w:val="0"/>
        <w:kinsoku/>
        <w:wordWrap/>
        <w:overflowPunct/>
        <w:topLinePunct w:val="0"/>
        <w:bidi w:val="0"/>
        <w:snapToGrid/>
        <w:spacing w:line="440" w:lineRule="exact"/>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kern w:val="2"/>
          <w:sz w:val="32"/>
          <w:szCs w:val="32"/>
          <w:highlight w:val="none"/>
          <w:u w:val="none"/>
          <w:lang w:val="en-US" w:eastAsia="zh-CN" w:bidi="ar-SA"/>
        </w:rPr>
        <w:t>经营者：覃桂结</w:t>
      </w:r>
    </w:p>
    <w:p w14:paraId="4354847B">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jc w:val="both"/>
        <w:textAlignment w:val="baseline"/>
        <w:outlineLvl w:val="9"/>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b w:val="0"/>
          <w:bCs w:val="0"/>
          <w:color w:val="auto"/>
          <w:kern w:val="2"/>
          <w:sz w:val="32"/>
          <w:szCs w:val="32"/>
          <w:highlight w:val="none"/>
          <w:u w:val="none"/>
          <w:lang w:val="en-US" w:eastAsia="zh-CN" w:bidi="ar-SA"/>
        </w:rPr>
        <w:t>身份证件号码：</w:t>
      </w:r>
      <w:r>
        <w:rPr>
          <w:rFonts w:hint="eastAsia" w:ascii="仿宋_GB2312" w:hAnsi="仿宋_GB2312" w:eastAsia="仿宋_GB2312" w:cs="仿宋_GB2312"/>
          <w:b w:val="0"/>
          <w:bCs w:val="0"/>
          <w:color w:val="auto"/>
          <w:kern w:val="2"/>
          <w:sz w:val="32"/>
          <w:szCs w:val="32"/>
          <w:highlight w:val="none"/>
          <w:u w:val="none"/>
          <w:lang w:val="en-US" w:eastAsia="zh-CN" w:bidi="ar-SA"/>
        </w:rPr>
        <w:t>*</w:t>
      </w:r>
      <w:bookmarkStart w:id="5" w:name="_GoBack"/>
      <w:bookmarkEnd w:id="5"/>
    </w:p>
    <w:p w14:paraId="63B3ADE6">
      <w:pPr>
        <w:pStyle w:val="6"/>
        <w:keepNext w:val="0"/>
        <w:keepLines w:val="0"/>
        <w:pageBreakBefore w:val="0"/>
        <w:widowControl w:val="0"/>
        <w:kinsoku/>
        <w:wordWrap/>
        <w:overflowPunct/>
        <w:topLinePunct w:val="0"/>
        <w:bidi w:val="0"/>
        <w:snapToGrid/>
        <w:spacing w:line="440" w:lineRule="exact"/>
        <w:rPr>
          <w:rFonts w:hint="eastAsia"/>
          <w:color w:val="auto"/>
          <w:lang w:val="en-US" w:eastAsia="zh-CN"/>
        </w:rPr>
      </w:pPr>
    </w:p>
    <w:p w14:paraId="10F31F74">
      <w:pPr>
        <w:pStyle w:val="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bCs/>
          <w:color w:val="auto"/>
          <w:kern w:val="0"/>
          <w:sz w:val="32"/>
          <w:szCs w:val="32"/>
          <w:lang w:val="en-US" w:eastAsia="zh-CN" w:bidi="ar-SA"/>
        </w:rPr>
        <w:t>2025年11月20日，广西民生中检联检测有限公司的工作人员对当事人于2025年11月17日购进并销售的酸笋丝进行抽样检验。2025年12月16日我局收到广西民生中检联检测有限公司出具的编号为№：BFSQF110336003C的《检验报告》，检验结论为不合格。2025年12月19日，我局执法人员向当事人送达上述《检验报告》及《食品安全抽样检验结果通知书》，并对当事人经营场所进行现场检查，经检查，上述批次酸笋丝已无在售及库存。我局于2025年12月30日对当事人涉嫌经营超限量使用食品添加剂的食品的行为进行立案调查。</w:t>
      </w:r>
    </w:p>
    <w:p w14:paraId="1D5F9D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eastAsia="zh-CN"/>
        </w:rPr>
        <w:t>经查实，当事人</w:t>
      </w:r>
      <w:r>
        <w:rPr>
          <w:rFonts w:hint="eastAsia" w:ascii="仿宋_GB2312" w:hAnsi="仿宋_GB2312" w:eastAsia="仿宋_GB2312" w:cs="仿宋_GB2312"/>
          <w:bCs/>
          <w:color w:val="auto"/>
          <w:sz w:val="32"/>
          <w:szCs w:val="32"/>
          <w:highlight w:val="none"/>
          <w:u w:val="none"/>
          <w:lang w:val="en-US" w:eastAsia="zh-CN"/>
        </w:rPr>
        <w:t>于</w:t>
      </w:r>
      <w:r>
        <w:rPr>
          <w:rFonts w:hint="eastAsia" w:ascii="仿宋_GB2312" w:hAnsi="仿宋_GB2312" w:eastAsia="仿宋_GB2312" w:cs="仿宋_GB2312"/>
          <w:bCs/>
          <w:color w:val="auto"/>
          <w:sz w:val="32"/>
          <w:szCs w:val="32"/>
          <w:highlight w:val="none"/>
          <w:u w:val="none"/>
          <w:lang w:eastAsia="zh-CN"/>
        </w:rPr>
        <w:t>202</w:t>
      </w:r>
      <w:r>
        <w:rPr>
          <w:rFonts w:hint="eastAsia" w:ascii="仿宋_GB2312" w:hAnsi="仿宋_GB2312" w:eastAsia="仿宋_GB2312" w:cs="仿宋_GB2312"/>
          <w:bCs/>
          <w:color w:val="auto"/>
          <w:sz w:val="32"/>
          <w:szCs w:val="32"/>
          <w:highlight w:val="none"/>
          <w:u w:val="none"/>
          <w:lang w:val="en-US" w:eastAsia="zh-CN"/>
        </w:rPr>
        <w:t>5</w:t>
      </w:r>
      <w:r>
        <w:rPr>
          <w:rFonts w:hint="eastAsia" w:ascii="仿宋_GB2312" w:hAnsi="仿宋_GB2312" w:eastAsia="仿宋_GB2312" w:cs="仿宋_GB2312"/>
          <w:bCs/>
          <w:color w:val="auto"/>
          <w:sz w:val="32"/>
          <w:szCs w:val="32"/>
          <w:highlight w:val="none"/>
          <w:u w:val="none"/>
          <w:lang w:eastAsia="zh-CN"/>
        </w:rPr>
        <w:t>年</w:t>
      </w:r>
      <w:r>
        <w:rPr>
          <w:rFonts w:hint="eastAsia" w:ascii="仿宋_GB2312" w:hAnsi="仿宋_GB2312" w:eastAsia="仿宋_GB2312" w:cs="仿宋_GB2312"/>
          <w:bCs/>
          <w:color w:val="auto"/>
          <w:sz w:val="32"/>
          <w:szCs w:val="32"/>
          <w:highlight w:val="none"/>
          <w:u w:val="none"/>
          <w:lang w:val="en-US" w:eastAsia="zh-CN"/>
        </w:rPr>
        <w:t>11</w:t>
      </w:r>
      <w:r>
        <w:rPr>
          <w:rFonts w:hint="eastAsia" w:ascii="仿宋_GB2312" w:hAnsi="仿宋_GB2312" w:eastAsia="仿宋_GB2312" w:cs="仿宋_GB2312"/>
          <w:bCs/>
          <w:color w:val="auto"/>
          <w:sz w:val="32"/>
          <w:szCs w:val="32"/>
          <w:highlight w:val="none"/>
          <w:u w:val="none"/>
          <w:lang w:eastAsia="zh-CN"/>
        </w:rPr>
        <w:t>月</w:t>
      </w:r>
      <w:r>
        <w:rPr>
          <w:rFonts w:hint="eastAsia" w:ascii="仿宋_GB2312" w:hAnsi="仿宋_GB2312" w:eastAsia="仿宋_GB2312" w:cs="仿宋_GB2312"/>
          <w:bCs/>
          <w:color w:val="auto"/>
          <w:sz w:val="32"/>
          <w:szCs w:val="32"/>
          <w:highlight w:val="none"/>
          <w:u w:val="none"/>
          <w:lang w:val="en-US" w:eastAsia="zh-CN"/>
        </w:rPr>
        <w:t>17</w:t>
      </w:r>
      <w:r>
        <w:rPr>
          <w:rFonts w:hint="eastAsia" w:ascii="仿宋_GB2312" w:hAnsi="仿宋_GB2312" w:eastAsia="仿宋_GB2312" w:cs="仿宋_GB2312"/>
          <w:bCs/>
          <w:color w:val="auto"/>
          <w:sz w:val="32"/>
          <w:szCs w:val="32"/>
          <w:highlight w:val="none"/>
          <w:u w:val="none"/>
          <w:lang w:eastAsia="zh-CN"/>
        </w:rPr>
        <w:t>日从</w:t>
      </w:r>
      <w:r>
        <w:rPr>
          <w:rFonts w:hint="eastAsia" w:ascii="仿宋_GB2312" w:hAnsi="仿宋_GB2312" w:eastAsia="仿宋_GB2312" w:cs="仿宋_GB2312"/>
          <w:b w:val="0"/>
          <w:bCs w:val="0"/>
          <w:color w:val="auto"/>
          <w:sz w:val="32"/>
          <w:szCs w:val="32"/>
          <w:highlight w:val="none"/>
          <w:u w:val="none"/>
          <w:lang w:val="en-US" w:eastAsia="zh-CN"/>
        </w:rPr>
        <w:t>融安县双辉酸店购进酸笋丝2.5</w:t>
      </w:r>
      <w:r>
        <w:rPr>
          <w:rFonts w:hint="eastAsia" w:ascii="仿宋_GB2312" w:hAnsi="仿宋_GB2312" w:eastAsia="仿宋_GB2312" w:cs="仿宋_GB2312"/>
          <w:bCs/>
          <w:color w:val="auto"/>
          <w:sz w:val="32"/>
          <w:szCs w:val="32"/>
          <w:highlight w:val="none"/>
          <w:u w:val="none"/>
          <w:lang w:val="en-US" w:eastAsia="zh-CN"/>
        </w:rPr>
        <w:t>kg用于销售，</w:t>
      </w:r>
      <w:r>
        <w:rPr>
          <w:rFonts w:hint="eastAsia" w:ascii="仿宋_GB2312" w:hAnsi="仿宋_GB2312" w:eastAsia="仿宋_GB2312" w:cs="仿宋_GB2312"/>
          <w:color w:val="auto"/>
          <w:sz w:val="32"/>
          <w:szCs w:val="32"/>
          <w:highlight w:val="none"/>
          <w:u w:val="none"/>
          <w:lang w:val="en-US" w:eastAsia="zh-CN"/>
        </w:rPr>
        <w:t>购进单价为*</w:t>
      </w:r>
      <w:r>
        <w:rPr>
          <w:rFonts w:hint="eastAsia" w:ascii="仿宋_GB2312" w:hAnsi="仿宋_GB2312" w:eastAsia="仿宋_GB2312" w:cs="仿宋_GB2312"/>
          <w:b w:val="0"/>
          <w:bCs w:val="0"/>
          <w:color w:val="auto"/>
          <w:sz w:val="32"/>
          <w:szCs w:val="32"/>
          <w:highlight w:val="none"/>
          <w:u w:val="none"/>
          <w:lang w:val="en-US" w:eastAsia="zh-CN"/>
        </w:rPr>
        <w:t>元/kg</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bCs/>
          <w:color w:val="auto"/>
          <w:sz w:val="32"/>
          <w:szCs w:val="32"/>
          <w:highlight w:val="none"/>
          <w:u w:val="none"/>
          <w:lang w:val="en-US" w:eastAsia="zh-CN"/>
        </w:rPr>
        <w:t>以</w:t>
      </w:r>
      <w:r>
        <w:rPr>
          <w:rFonts w:hint="eastAsia" w:ascii="仿宋_GB2312" w:hAnsi="仿宋_GB2312" w:eastAsia="仿宋_GB2312" w:cs="仿宋_GB2312"/>
          <w:b w:val="0"/>
          <w:bCs w:val="0"/>
          <w:color w:val="auto"/>
          <w:sz w:val="32"/>
          <w:szCs w:val="32"/>
          <w:highlight w:val="none"/>
          <w:u w:val="none"/>
          <w:lang w:val="en-US" w:eastAsia="zh-CN"/>
        </w:rPr>
        <w:t>10元/kg</w:t>
      </w:r>
      <w:r>
        <w:rPr>
          <w:rFonts w:hint="eastAsia" w:ascii="仿宋_GB2312" w:hAnsi="仿宋_GB2312" w:eastAsia="仿宋_GB2312" w:cs="仿宋_GB2312"/>
          <w:bCs/>
          <w:color w:val="auto"/>
          <w:sz w:val="32"/>
          <w:szCs w:val="32"/>
          <w:highlight w:val="none"/>
          <w:u w:val="none"/>
          <w:lang w:val="en-US" w:eastAsia="zh-CN"/>
        </w:rPr>
        <w:t>的价格销售，其中2.25kg给</w:t>
      </w:r>
      <w:r>
        <w:rPr>
          <w:rFonts w:hint="eastAsia" w:ascii="仿宋_GB2312" w:hAnsi="仿宋_GB2312" w:eastAsia="仿宋_GB2312" w:cs="仿宋_GB2312"/>
          <w:bCs/>
          <w:color w:val="auto"/>
          <w:kern w:val="0"/>
          <w:sz w:val="32"/>
          <w:szCs w:val="32"/>
          <w:lang w:val="en-US" w:eastAsia="zh-CN" w:bidi="ar-SA"/>
        </w:rPr>
        <w:t>广西民生中检联检测有限公司的工作人员</w:t>
      </w:r>
      <w:r>
        <w:rPr>
          <w:rFonts w:hint="eastAsia" w:ascii="仿宋_GB2312" w:hAnsi="仿宋_GB2312" w:eastAsia="仿宋_GB2312" w:cs="仿宋_GB2312"/>
          <w:bCs/>
          <w:color w:val="auto"/>
          <w:sz w:val="32"/>
          <w:szCs w:val="32"/>
          <w:highlight w:val="none"/>
          <w:u w:val="none"/>
          <w:lang w:val="en-US" w:eastAsia="zh-CN"/>
        </w:rPr>
        <w:t>送检，剩余0.25kg销售给其他消费者。上述酸笋丝经</w:t>
      </w:r>
      <w:r>
        <w:rPr>
          <w:rFonts w:hint="eastAsia" w:ascii="仿宋_GB2312" w:hAnsi="仿宋_GB2312" w:eastAsia="仿宋_GB2312" w:cs="仿宋_GB2312"/>
          <w:bCs/>
          <w:color w:val="auto"/>
          <w:kern w:val="0"/>
          <w:sz w:val="32"/>
          <w:szCs w:val="32"/>
          <w:lang w:val="en-US" w:eastAsia="zh-CN" w:bidi="ar-SA"/>
        </w:rPr>
        <w:t>广西民生中检联检测有限公司</w:t>
      </w:r>
      <w:r>
        <w:rPr>
          <w:rFonts w:hint="eastAsia" w:ascii="仿宋_GB2312" w:hAnsi="仿宋_GB2312" w:eastAsia="仿宋_GB2312" w:cs="仿宋_GB2312"/>
          <w:bCs/>
          <w:color w:val="auto"/>
          <w:sz w:val="32"/>
          <w:szCs w:val="32"/>
          <w:highlight w:val="none"/>
          <w:u w:val="none"/>
          <w:lang w:val="en-US" w:eastAsia="zh-CN"/>
        </w:rPr>
        <w:t>抽样检验</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检验结论：</w:t>
      </w:r>
      <w:r>
        <w:rPr>
          <w:rFonts w:hint="eastAsia" w:ascii="仿宋_GB2312" w:hAnsi="仿宋_GB2312" w:eastAsia="仿宋_GB2312" w:cs="仿宋_GB2312"/>
          <w:bCs/>
          <w:color w:val="auto"/>
          <w:kern w:val="0"/>
          <w:sz w:val="32"/>
          <w:szCs w:val="32"/>
          <w:lang w:val="en-US" w:eastAsia="zh-CN" w:bidi="ar-SA"/>
        </w:rPr>
        <w:t>经抽样检验，二氧化硫残留量项目不符合GB 2760-2024《食品安全国家标准  食品添加剂使用标准》要求，检验结论为不合格</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上述</w:t>
      </w:r>
      <w:r>
        <w:rPr>
          <w:rFonts w:hint="eastAsia" w:ascii="仿宋_GB2312" w:hAnsi="仿宋_GB2312" w:eastAsia="仿宋_GB2312" w:cs="仿宋_GB2312"/>
          <w:b w:val="0"/>
          <w:bCs w:val="0"/>
          <w:color w:val="auto"/>
          <w:kern w:val="0"/>
          <w:sz w:val="32"/>
          <w:szCs w:val="32"/>
          <w:highlight w:val="none"/>
          <w:u w:val="none"/>
          <w:lang w:val="en-US" w:eastAsia="zh-CN" w:bidi="ar-SA"/>
        </w:rPr>
        <w:t>酸笋丝</w:t>
      </w:r>
      <w:r>
        <w:rPr>
          <w:rFonts w:hint="eastAsia" w:ascii="仿宋_GB2312" w:hAnsi="仿宋_GB2312" w:eastAsia="仿宋_GB2312" w:cs="仿宋_GB2312"/>
          <w:b w:val="0"/>
          <w:bCs w:val="0"/>
          <w:color w:val="auto"/>
          <w:sz w:val="32"/>
          <w:szCs w:val="32"/>
          <w:highlight w:val="none"/>
          <w:u w:val="none"/>
          <w:lang w:eastAsia="zh-CN"/>
        </w:rPr>
        <w:t>货值金额为</w:t>
      </w:r>
      <w:r>
        <w:rPr>
          <w:rFonts w:hint="eastAsia" w:ascii="仿宋_GB2312" w:hAnsi="仿宋_GB2312" w:eastAsia="仿宋_GB2312" w:cs="仿宋_GB2312"/>
          <w:b w:val="0"/>
          <w:bCs w:val="0"/>
          <w:color w:val="auto"/>
          <w:sz w:val="32"/>
          <w:szCs w:val="32"/>
          <w:highlight w:val="none"/>
          <w:u w:val="none"/>
          <w:lang w:val="en-US" w:eastAsia="zh-CN"/>
        </w:rPr>
        <w:t>25</w:t>
      </w:r>
      <w:r>
        <w:rPr>
          <w:rFonts w:hint="eastAsia" w:ascii="仿宋_GB2312" w:hAnsi="仿宋_GB2312" w:eastAsia="仿宋_GB2312" w:cs="仿宋_GB2312"/>
          <w:b w:val="0"/>
          <w:bCs w:val="0"/>
          <w:color w:val="auto"/>
          <w:sz w:val="32"/>
          <w:szCs w:val="32"/>
          <w:highlight w:val="none"/>
          <w:u w:val="none"/>
          <w:lang w:eastAsia="zh-CN"/>
        </w:rPr>
        <w:t>元，营业性收入</w:t>
      </w:r>
      <w:r>
        <w:rPr>
          <w:rFonts w:hint="eastAsia" w:ascii="仿宋_GB2312" w:hAnsi="仿宋_GB2312" w:eastAsia="仿宋_GB2312" w:cs="仿宋_GB2312"/>
          <w:b w:val="0"/>
          <w:bCs w:val="0"/>
          <w:color w:val="auto"/>
          <w:sz w:val="32"/>
          <w:szCs w:val="32"/>
          <w:highlight w:val="none"/>
          <w:u w:val="none"/>
          <w:lang w:val="en-US" w:eastAsia="zh-CN"/>
        </w:rPr>
        <w:t>25</w:t>
      </w:r>
      <w:r>
        <w:rPr>
          <w:rFonts w:hint="eastAsia" w:ascii="仿宋_GB2312" w:hAnsi="仿宋_GB2312" w:eastAsia="仿宋_GB2312" w:cs="仿宋_GB2312"/>
          <w:b w:val="0"/>
          <w:bCs w:val="0"/>
          <w:color w:val="auto"/>
          <w:sz w:val="32"/>
          <w:szCs w:val="32"/>
          <w:highlight w:val="none"/>
          <w:u w:val="none"/>
          <w:lang w:eastAsia="zh-CN"/>
        </w:rPr>
        <w:t>元。</w:t>
      </w:r>
    </w:p>
    <w:p w14:paraId="278ED9E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当事人在采购上述酸笋丝时</w:t>
      </w:r>
      <w:r>
        <w:rPr>
          <w:rFonts w:hint="default" w:ascii="Times New Roman" w:hAnsi="Times New Roman" w:eastAsia="仿宋_GB2312" w:cs="Times New Roman"/>
          <w:bCs/>
          <w:color w:val="auto"/>
          <w:sz w:val="32"/>
          <w:szCs w:val="32"/>
          <w:u w:val="none"/>
          <w:lang w:val="en-US" w:eastAsia="zh-CN"/>
        </w:rPr>
        <w:t>未查验食品合格证明文件</w:t>
      </w:r>
      <w:r>
        <w:rPr>
          <w:rFonts w:hint="eastAsia" w:ascii="仿宋_GB2312" w:hAnsi="仿宋_GB2312" w:eastAsia="仿宋_GB2312" w:cs="仿宋_GB2312"/>
          <w:bCs/>
          <w:color w:val="auto"/>
          <w:sz w:val="32"/>
          <w:szCs w:val="32"/>
          <w:highlight w:val="none"/>
          <w:u w:val="none"/>
          <w:lang w:val="en-US" w:eastAsia="zh-CN"/>
        </w:rPr>
        <w:t>。</w:t>
      </w:r>
    </w:p>
    <w:p w14:paraId="52D2D391">
      <w:pPr>
        <w:pStyle w:val="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上述事实，主要有以下证据证明：</w:t>
      </w:r>
    </w:p>
    <w:p w14:paraId="488ADA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yellow"/>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highlight w:val="none"/>
          <w:u w:val="none"/>
          <w:lang w:val="en-US" w:eastAsia="zh-CN"/>
        </w:rPr>
        <w:t>当事人的</w:t>
      </w:r>
      <w:r>
        <w:rPr>
          <w:rFonts w:hint="eastAsia" w:ascii="仿宋_GB2312" w:hAnsi="仿宋_GB2312" w:eastAsia="仿宋_GB2312" w:cs="仿宋_GB2312"/>
          <w:bCs/>
          <w:color w:val="auto"/>
          <w:sz w:val="32"/>
          <w:szCs w:val="32"/>
          <w:highlight w:val="none"/>
        </w:rPr>
        <w:t>《营业执照》</w:t>
      </w:r>
      <w:r>
        <w:rPr>
          <w:rFonts w:hint="eastAsia" w:ascii="仿宋_GB2312" w:hAnsi="仿宋_GB2312" w:eastAsia="仿宋_GB2312" w:cs="仿宋_GB2312"/>
          <w:bCs/>
          <w:color w:val="auto"/>
          <w:sz w:val="32"/>
          <w:szCs w:val="32"/>
          <w:highlight w:val="none"/>
          <w:lang w:eastAsia="zh-CN"/>
        </w:rPr>
        <w:t>复印件</w:t>
      </w:r>
      <w:r>
        <w:rPr>
          <w:rFonts w:hint="eastAsia" w:ascii="仿宋_GB2312" w:hAnsi="仿宋_GB2312" w:eastAsia="仿宋_GB2312" w:cs="仿宋_GB2312"/>
          <w:bCs/>
          <w:color w:val="auto"/>
          <w:sz w:val="32"/>
          <w:szCs w:val="32"/>
          <w:highlight w:val="none"/>
          <w:lang w:val="en-US" w:eastAsia="zh-CN"/>
        </w:rPr>
        <w:t>1份，覃桂结</w:t>
      </w:r>
      <w:r>
        <w:rPr>
          <w:rFonts w:hint="eastAsia" w:ascii="仿宋_GB2312" w:hAnsi="仿宋_GB2312" w:eastAsia="仿宋_GB2312" w:cs="仿宋_GB2312"/>
          <w:bCs/>
          <w:color w:val="auto"/>
          <w:sz w:val="32"/>
          <w:szCs w:val="32"/>
          <w:highlight w:val="none"/>
          <w:lang w:eastAsia="zh-CN"/>
        </w:rPr>
        <w:t>的</w:t>
      </w:r>
      <w:r>
        <w:rPr>
          <w:rFonts w:hint="eastAsia" w:ascii="仿宋_GB2312" w:hAnsi="仿宋_GB2312" w:eastAsia="仿宋_GB2312" w:cs="仿宋_GB2312"/>
          <w:bCs/>
          <w:color w:val="auto"/>
          <w:sz w:val="32"/>
          <w:szCs w:val="32"/>
          <w:highlight w:val="none"/>
        </w:rPr>
        <w:t>身份证复印件1份</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证明当事人的主体资格</w:t>
      </w:r>
      <w:r>
        <w:rPr>
          <w:rFonts w:hint="eastAsia" w:ascii="仿宋_GB2312" w:hAnsi="仿宋_GB2312" w:eastAsia="仿宋_GB2312" w:cs="仿宋_GB2312"/>
          <w:bCs/>
          <w:color w:val="auto"/>
          <w:sz w:val="32"/>
          <w:szCs w:val="32"/>
          <w:highlight w:val="none"/>
          <w:lang w:val="en-US" w:eastAsia="zh-CN"/>
        </w:rPr>
        <w:t>和经营者的身份信息</w:t>
      </w:r>
      <w:r>
        <w:rPr>
          <w:rFonts w:hint="eastAsia" w:ascii="仿宋_GB2312" w:hAnsi="仿宋_GB2312" w:eastAsia="仿宋_GB2312" w:cs="仿宋_GB2312"/>
          <w:bCs/>
          <w:color w:val="auto"/>
          <w:sz w:val="32"/>
          <w:szCs w:val="32"/>
          <w:highlight w:val="none"/>
        </w:rPr>
        <w:t>。</w:t>
      </w:r>
    </w:p>
    <w:p w14:paraId="103FBC0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yellow"/>
          <w:lang w:val="en-US" w:eastAsia="zh-CN"/>
        </w:rPr>
      </w:pPr>
      <w:r>
        <w:rPr>
          <w:rFonts w:hint="eastAsia" w:ascii="仿宋_GB2312" w:hAnsi="仿宋_GB2312" w:eastAsia="仿宋_GB2312" w:cs="仿宋_GB2312"/>
          <w:bCs/>
          <w:color w:val="auto"/>
          <w:sz w:val="32"/>
          <w:szCs w:val="32"/>
          <w:highlight w:val="none"/>
        </w:rPr>
        <w:t>2.现场笔录1份，</w:t>
      </w:r>
      <w:r>
        <w:rPr>
          <w:rFonts w:hint="eastAsia" w:ascii="仿宋_GB2312" w:hAnsi="仿宋_GB2312" w:eastAsia="仿宋_GB2312" w:cs="仿宋_GB2312"/>
          <w:bCs/>
          <w:color w:val="auto"/>
          <w:sz w:val="32"/>
          <w:szCs w:val="32"/>
          <w:highlight w:val="none"/>
          <w:lang w:val="en-US" w:eastAsia="zh-CN"/>
        </w:rPr>
        <w:t>证据提取单3份，</w:t>
      </w:r>
      <w:r>
        <w:rPr>
          <w:rFonts w:hint="eastAsia" w:ascii="仿宋_GB2312" w:hAnsi="仿宋_GB2312" w:eastAsia="仿宋_GB2312" w:cs="仿宋_GB2312"/>
          <w:bCs/>
          <w:color w:val="auto"/>
          <w:sz w:val="32"/>
          <w:szCs w:val="32"/>
          <w:highlight w:val="none"/>
        </w:rPr>
        <w:t>询问笔录1份，检验报告</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份，</w:t>
      </w:r>
      <w:r>
        <w:rPr>
          <w:rFonts w:hint="eastAsia" w:ascii="仿宋_GB2312" w:hAnsi="仿宋_GB2312" w:eastAsia="仿宋_GB2312" w:cs="仿宋_GB2312"/>
          <w:bCs/>
          <w:color w:val="auto"/>
          <w:sz w:val="32"/>
          <w:szCs w:val="32"/>
          <w:highlight w:val="none"/>
          <w:lang w:eastAsia="zh-CN"/>
        </w:rPr>
        <w:t>《食品安全抽样检验抽样单（非食用农产品）》复印件</w:t>
      </w:r>
      <w:r>
        <w:rPr>
          <w:rFonts w:hint="eastAsia" w:ascii="仿宋_GB2312" w:hAnsi="仿宋_GB2312" w:eastAsia="仿宋_GB2312" w:cs="仿宋_GB2312"/>
          <w:bCs/>
          <w:color w:val="auto"/>
          <w:sz w:val="32"/>
          <w:szCs w:val="32"/>
          <w:highlight w:val="none"/>
          <w:lang w:val="en-US" w:eastAsia="zh-CN"/>
        </w:rPr>
        <w:t>1份，</w:t>
      </w:r>
      <w:r>
        <w:rPr>
          <w:rFonts w:hint="eastAsia" w:ascii="仿宋_GB2312" w:hAnsi="仿宋_GB2312" w:eastAsia="仿宋_GB2312" w:cs="仿宋_GB2312"/>
          <w:bCs/>
          <w:color w:val="auto"/>
          <w:sz w:val="32"/>
          <w:szCs w:val="32"/>
          <w:highlight w:val="none"/>
          <w:lang w:eastAsia="zh-CN"/>
        </w:rPr>
        <w:t>《食品安全抽样检验告知书》复印件</w:t>
      </w:r>
      <w:r>
        <w:rPr>
          <w:rFonts w:hint="eastAsia" w:ascii="仿宋_GB2312" w:hAnsi="仿宋_GB2312" w:eastAsia="仿宋_GB2312" w:cs="仿宋_GB2312"/>
          <w:bCs/>
          <w:color w:val="auto"/>
          <w:sz w:val="32"/>
          <w:szCs w:val="32"/>
          <w:highlight w:val="none"/>
          <w:lang w:val="en-US" w:eastAsia="zh-CN"/>
        </w:rPr>
        <w:t>1份，《食品安全抽样检验结果通知书》1份，</w:t>
      </w:r>
      <w:r>
        <w:rPr>
          <w:rFonts w:hint="eastAsia" w:ascii="仿宋_GB2312" w:hAnsi="仿宋_GB2312" w:eastAsia="仿宋_GB2312" w:cs="仿宋_GB2312"/>
          <w:bCs/>
          <w:color w:val="auto"/>
          <w:sz w:val="32"/>
          <w:szCs w:val="32"/>
          <w:highlight w:val="none"/>
        </w:rPr>
        <w:t>证明当事人</w:t>
      </w:r>
      <w:r>
        <w:rPr>
          <w:rFonts w:hint="eastAsia" w:ascii="仿宋_GB2312" w:hAnsi="仿宋_GB2312" w:eastAsia="仿宋_GB2312" w:cs="仿宋_GB2312"/>
          <w:bCs/>
          <w:color w:val="auto"/>
          <w:sz w:val="32"/>
          <w:szCs w:val="32"/>
          <w:highlight w:val="none"/>
          <w:lang w:eastAsia="zh-CN"/>
        </w:rPr>
        <w:t>经营</w:t>
      </w:r>
      <w:r>
        <w:rPr>
          <w:rFonts w:hint="eastAsia" w:ascii="仿宋_GB2312" w:hAnsi="仿宋_GB2312" w:eastAsia="仿宋_GB2312" w:cs="仿宋_GB2312"/>
          <w:bCs/>
          <w:color w:val="auto"/>
          <w:kern w:val="0"/>
          <w:sz w:val="32"/>
          <w:szCs w:val="32"/>
          <w:lang w:val="en-US" w:eastAsia="zh-CN" w:bidi="ar-SA"/>
        </w:rPr>
        <w:t>二氧化硫残留量项目不符合GB 2760-2024《食品安全国家标准  食品添加剂使用标准》要求的酸笋丝</w:t>
      </w:r>
      <w:r>
        <w:rPr>
          <w:rFonts w:hint="eastAsia" w:ascii="仿宋_GB2312" w:hAnsi="仿宋_GB2312" w:eastAsia="仿宋_GB2312" w:cs="仿宋_GB2312"/>
          <w:b w:val="0"/>
          <w:bCs w:val="0"/>
          <w:color w:val="auto"/>
          <w:sz w:val="32"/>
          <w:szCs w:val="32"/>
          <w:highlight w:val="none"/>
          <w:u w:val="none"/>
          <w:lang w:val="en-US" w:eastAsia="zh-CN"/>
        </w:rPr>
        <w:t>的行为。</w:t>
      </w:r>
    </w:p>
    <w:p w14:paraId="538B147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3.供货商《营业执照》复印件1份、《食品小作坊登记证》复印件1份、</w:t>
      </w:r>
      <w:r>
        <w:rPr>
          <w:rFonts w:hint="eastAsia" w:eastAsia="仿宋_GB2312"/>
          <w:color w:val="auto"/>
          <w:sz w:val="32"/>
          <w:szCs w:val="32"/>
          <w:highlight w:val="none"/>
          <w:u w:val="none"/>
          <w:lang w:val="en-US" w:eastAsia="zh-CN"/>
        </w:rPr>
        <w:t>融安县双辉酸店送货单复印件1份，</w:t>
      </w:r>
      <w:r>
        <w:rPr>
          <w:rFonts w:hint="eastAsia" w:ascii="仿宋_GB2312" w:hAnsi="仿宋_GB2312" w:eastAsia="仿宋_GB2312" w:cs="仿宋_GB2312"/>
          <w:bCs/>
          <w:color w:val="auto"/>
          <w:sz w:val="32"/>
          <w:szCs w:val="32"/>
          <w:highlight w:val="none"/>
          <w:lang w:val="en-US" w:eastAsia="zh-CN"/>
        </w:rPr>
        <w:t>证明当事人在购进上述酸笋丝时履行进货查验义务的情况。</w:t>
      </w:r>
    </w:p>
    <w:p w14:paraId="788F21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以上证据均由</w:t>
      </w:r>
      <w:r>
        <w:rPr>
          <w:rFonts w:hint="eastAsia" w:ascii="仿宋_GB2312" w:hAnsi="仿宋_GB2312" w:eastAsia="仿宋_GB2312" w:cs="仿宋_GB2312"/>
          <w:bCs/>
          <w:color w:val="auto"/>
          <w:sz w:val="32"/>
          <w:szCs w:val="32"/>
          <w:highlight w:val="none"/>
          <w:lang w:val="en-US" w:eastAsia="zh-CN"/>
        </w:rPr>
        <w:t>经营者</w:t>
      </w:r>
      <w:r>
        <w:rPr>
          <w:rFonts w:hint="eastAsia" w:ascii="仿宋_GB2312" w:hAnsi="仿宋_GB2312" w:eastAsia="仿宋_GB2312" w:cs="仿宋_GB2312"/>
          <w:bCs/>
          <w:color w:val="auto"/>
          <w:sz w:val="32"/>
          <w:szCs w:val="32"/>
          <w:highlight w:val="none"/>
        </w:rPr>
        <w:t>签名认可。</w:t>
      </w:r>
    </w:p>
    <w:p w14:paraId="034F4DE2">
      <w:pPr>
        <w:pStyle w:val="6"/>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我局于</w:t>
      </w:r>
      <w:r>
        <w:rPr>
          <w:rFonts w:hint="default" w:ascii="Times New Roman" w:hAnsi="Times New Roman" w:eastAsia="仿宋_GB2312" w:cs="Times New Roman"/>
          <w:color w:val="auto"/>
          <w:sz w:val="32"/>
          <w:szCs w:val="32"/>
          <w:u w:val="none"/>
          <w:lang w:val="en-US" w:eastAsia="zh-CN"/>
        </w:rPr>
        <w:t>202</w:t>
      </w:r>
      <w:r>
        <w:rPr>
          <w:rFonts w:hint="eastAsia" w:ascii="Times New Roman" w:hAnsi="Times New Roman"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年1月</w:t>
      </w:r>
      <w:r>
        <w:rPr>
          <w:rFonts w:hint="eastAsia" w:ascii="Times New Roman" w:hAnsi="Times New Roman"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lang w:val="en-US" w:eastAsia="zh-CN"/>
        </w:rPr>
        <w:t>日向当事人送达了《行政处罚告知书》（柳北市监罚告〔202</w:t>
      </w:r>
      <w:r>
        <w:rPr>
          <w:rFonts w:hint="eastAsia" w:ascii="Times New Roman" w:hAnsi="Times New Roman"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 xml:space="preserve">号），告知当事人我局拟作出行政处罚的事实、理由、依据、处罚内容及享有的权利。当事人在法定期限内未提出陈述、申辩。 </w:t>
      </w:r>
    </w:p>
    <w:p w14:paraId="47DDC17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当事人在柳州市黄村新街市场内无固定经营门店，系摆摊设点销售食品，根据《广西壮族自治区食品小作坊小餐饮和食品摊贩管理条例》第二条第四款的规定，当事人属于食品摊贩。</w:t>
      </w:r>
    </w:p>
    <w:p w14:paraId="025A01F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u w:val="none"/>
          <w:lang w:eastAsia="zh-CN"/>
        </w:rPr>
        <w:t>当事人采购上述</w:t>
      </w:r>
      <w:r>
        <w:rPr>
          <w:rFonts w:hint="eastAsia" w:ascii="仿宋_GB2312" w:hAnsi="仿宋_GB2312" w:eastAsia="仿宋_GB2312" w:cs="仿宋_GB2312"/>
          <w:bCs/>
          <w:color w:val="auto"/>
          <w:sz w:val="32"/>
          <w:szCs w:val="32"/>
          <w:highlight w:val="none"/>
          <w:lang w:val="en-US" w:eastAsia="zh-CN"/>
        </w:rPr>
        <w:t>酸笋丝</w:t>
      </w:r>
      <w:r>
        <w:rPr>
          <w:rFonts w:hint="eastAsia" w:ascii="仿宋_GB2312" w:hAnsi="仿宋_GB2312" w:eastAsia="仿宋_GB2312" w:cs="仿宋_GB2312"/>
          <w:color w:val="auto"/>
          <w:sz w:val="32"/>
          <w:szCs w:val="32"/>
          <w:highlight w:val="none"/>
          <w:u w:val="none"/>
          <w:lang w:eastAsia="zh-CN"/>
        </w:rPr>
        <w:t>时未查验食品合格证明文件的行为，违反了《中华人民共和国食品安全法》第五十三条</w:t>
      </w:r>
      <w:bookmarkStart w:id="3" w:name="tiao_53_kuan_1"/>
      <w:bookmarkEnd w:id="3"/>
      <w:r>
        <w:rPr>
          <w:rFonts w:hint="eastAsia" w:ascii="仿宋_GB2312" w:hAnsi="仿宋_GB2312" w:eastAsia="仿宋_GB2312" w:cs="仿宋_GB2312"/>
          <w:color w:val="auto"/>
          <w:sz w:val="32"/>
          <w:szCs w:val="32"/>
          <w:highlight w:val="none"/>
          <w:u w:val="none"/>
          <w:lang w:eastAsia="zh-CN"/>
        </w:rPr>
        <w:t>第一款的规定，属于未按规定履行进货查验义务的行为。</w:t>
      </w:r>
    </w:p>
    <w:p w14:paraId="73BBAE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auto"/>
          <w:spacing w:val="0"/>
          <w:sz w:val="32"/>
          <w:szCs w:val="32"/>
          <w:highlight w:val="none"/>
          <w:u w:val="none"/>
          <w:lang w:val="en-US" w:eastAsia="zh-CN"/>
        </w:rPr>
      </w:pPr>
      <w:r>
        <w:rPr>
          <w:rFonts w:hint="eastAsia" w:ascii="仿宋_GB2312" w:hAnsi="仿宋_GB2312" w:eastAsia="仿宋_GB2312" w:cs="仿宋_GB2312"/>
          <w:bCs/>
          <w:color w:val="auto"/>
          <w:sz w:val="32"/>
          <w:szCs w:val="32"/>
          <w:highlight w:val="none"/>
          <w:lang w:eastAsia="zh-CN"/>
        </w:rPr>
        <w:t>当事人经营</w:t>
      </w:r>
      <w:r>
        <w:rPr>
          <w:rFonts w:hint="eastAsia" w:ascii="仿宋_GB2312" w:hAnsi="仿宋_GB2312" w:eastAsia="仿宋_GB2312" w:cs="仿宋_GB2312"/>
          <w:bCs/>
          <w:color w:val="auto"/>
          <w:sz w:val="32"/>
          <w:szCs w:val="32"/>
          <w:highlight w:val="none"/>
        </w:rPr>
        <w:t>上述</w:t>
      </w:r>
      <w:r>
        <w:rPr>
          <w:rFonts w:hint="eastAsia" w:ascii="仿宋_GB2312" w:hAnsi="仿宋_GB2312" w:eastAsia="仿宋_GB2312" w:cs="仿宋_GB2312"/>
          <w:bCs/>
          <w:color w:val="auto"/>
          <w:kern w:val="0"/>
          <w:sz w:val="32"/>
          <w:szCs w:val="32"/>
          <w:highlight w:val="none"/>
          <w:lang w:val="en-US" w:eastAsia="zh-CN" w:bidi="ar-SA"/>
        </w:rPr>
        <w:t>酸笋丝</w:t>
      </w:r>
      <w:r>
        <w:rPr>
          <w:rFonts w:hint="eastAsia" w:ascii="仿宋_GB2312" w:hAnsi="仿宋_GB2312" w:eastAsia="仿宋_GB2312" w:cs="仿宋_GB2312"/>
          <w:bCs/>
          <w:color w:val="auto"/>
          <w:sz w:val="32"/>
          <w:szCs w:val="32"/>
          <w:highlight w:val="none"/>
        </w:rPr>
        <w:t>的行为，</w:t>
      </w:r>
      <w:r>
        <w:rPr>
          <w:rFonts w:hint="eastAsia" w:ascii="仿宋_GB2312" w:hAnsi="仿宋_GB2312" w:eastAsia="仿宋_GB2312" w:cs="仿宋_GB2312"/>
          <w:bCs/>
          <w:color w:val="auto"/>
          <w:sz w:val="32"/>
          <w:szCs w:val="32"/>
          <w:highlight w:val="none"/>
          <w:lang w:eastAsia="zh-CN"/>
        </w:rPr>
        <w:t>不符合</w:t>
      </w:r>
      <w:r>
        <w:rPr>
          <w:rFonts w:hint="eastAsia" w:ascii="仿宋_GB2312" w:hAnsi="仿宋_GB2312" w:eastAsia="仿宋_GB2312" w:cs="仿宋_GB2312"/>
          <w:bCs/>
          <w:color w:val="auto"/>
          <w:sz w:val="32"/>
          <w:szCs w:val="32"/>
          <w:highlight w:val="none"/>
        </w:rPr>
        <w:t>《中华人民共和国食品安全法》</w:t>
      </w:r>
      <w:r>
        <w:rPr>
          <w:rFonts w:hint="eastAsia" w:ascii="仿宋_GB2312" w:hAnsi="仿宋_GB2312" w:eastAsia="仿宋_GB2312" w:cs="仿宋_GB2312"/>
          <w:color w:val="auto"/>
          <w:sz w:val="32"/>
          <w:szCs w:val="32"/>
          <w:highlight w:val="none"/>
          <w:u w:val="none"/>
        </w:rPr>
        <w:t>第三十四条第一款第四项</w:t>
      </w:r>
      <w:r>
        <w:rPr>
          <w:rFonts w:hint="eastAsia" w:ascii="仿宋_GB2312" w:hAnsi="仿宋_GB2312" w:eastAsia="仿宋_GB2312" w:cs="仿宋_GB2312"/>
          <w:color w:val="auto"/>
          <w:sz w:val="32"/>
          <w:szCs w:val="32"/>
          <w:highlight w:val="none"/>
          <w:u w:val="none"/>
          <w:lang w:eastAsia="zh-CN"/>
        </w:rPr>
        <w:t>的规定</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违反了</w:t>
      </w:r>
      <w:r>
        <w:rPr>
          <w:rFonts w:hint="eastAsia" w:ascii="仿宋_GB2312" w:hAnsi="仿宋_GB2312" w:eastAsia="仿宋_GB2312" w:cs="仿宋_GB2312"/>
          <w:color w:val="auto"/>
          <w:sz w:val="32"/>
          <w:szCs w:val="32"/>
          <w:highlight w:val="none"/>
          <w:u w:val="none"/>
          <w:lang w:eastAsia="zh-CN"/>
        </w:rPr>
        <w:t>《广西壮族自治区食品小作坊小餐饮和食品摊贩管理条例》第二十八条</w:t>
      </w:r>
      <w:r>
        <w:rPr>
          <w:rFonts w:hint="eastAsia" w:ascii="仿宋_GB2312" w:hAnsi="仿宋_GB2312" w:eastAsia="仿宋_GB2312" w:cs="仿宋_GB2312"/>
          <w:color w:val="auto"/>
          <w:spacing w:val="0"/>
          <w:sz w:val="32"/>
          <w:szCs w:val="32"/>
          <w:highlight w:val="none"/>
          <w:u w:val="none"/>
          <w:lang w:val="en-US" w:eastAsia="zh-CN"/>
        </w:rPr>
        <w:t>第一款</w:t>
      </w:r>
      <w:r>
        <w:rPr>
          <w:rFonts w:hint="eastAsia" w:ascii="仿宋_GB2312" w:hAnsi="仿宋_GB2312" w:eastAsia="仿宋_GB2312" w:cs="仿宋_GB2312"/>
          <w:color w:val="auto"/>
          <w:sz w:val="32"/>
          <w:szCs w:val="32"/>
          <w:highlight w:val="none"/>
          <w:u w:val="none"/>
          <w:lang w:eastAsia="zh-CN"/>
        </w:rPr>
        <w:t>第五项的规定，</w:t>
      </w:r>
      <w:r>
        <w:rPr>
          <w:rFonts w:hint="eastAsia" w:ascii="仿宋_GB2312" w:hAnsi="仿宋_GB2312" w:eastAsia="仿宋_GB2312" w:cs="仿宋_GB2312"/>
          <w:bCs/>
          <w:color w:val="auto"/>
          <w:sz w:val="32"/>
          <w:szCs w:val="32"/>
          <w:highlight w:val="none"/>
        </w:rPr>
        <w:t>属于</w:t>
      </w:r>
      <w:r>
        <w:rPr>
          <w:rFonts w:hint="eastAsia" w:ascii="仿宋_GB2312" w:hAnsi="仿宋_GB2312" w:eastAsia="仿宋_GB2312" w:cs="仿宋_GB2312"/>
          <w:bCs/>
          <w:color w:val="auto"/>
          <w:sz w:val="32"/>
          <w:szCs w:val="32"/>
          <w:highlight w:val="none"/>
          <w:lang w:val="en-US" w:eastAsia="zh-CN"/>
        </w:rPr>
        <w:t>经营超限量使用食品添加剂的食品的行为</w:t>
      </w:r>
      <w:r>
        <w:rPr>
          <w:rFonts w:hint="eastAsia" w:ascii="仿宋_GB2312" w:hAnsi="仿宋_GB2312" w:eastAsia="仿宋_GB2312" w:cs="仿宋_GB2312"/>
          <w:color w:val="auto"/>
          <w:spacing w:val="0"/>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eastAsia="zh-CN"/>
        </w:rPr>
        <w:t>本案</w:t>
      </w:r>
      <w:r>
        <w:rPr>
          <w:rFonts w:hint="eastAsia" w:ascii="仿宋_GB2312" w:hAnsi="仿宋_GB2312" w:eastAsia="仿宋_GB2312" w:cs="仿宋_GB2312"/>
          <w:color w:val="auto"/>
          <w:spacing w:val="0"/>
          <w:sz w:val="32"/>
          <w:szCs w:val="32"/>
          <w:highlight w:val="none"/>
          <w:u w:val="none"/>
          <w:lang w:val="en-US" w:eastAsia="zh-CN"/>
        </w:rPr>
        <w:t>货值金额25元，违法所得为25元。</w:t>
      </w:r>
    </w:p>
    <w:p w14:paraId="4BFBD7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仿宋_GB2312" w:cs="Times New Roman"/>
          <w:color w:val="auto"/>
          <w:spacing w:val="0"/>
          <w:sz w:val="32"/>
          <w:szCs w:val="32"/>
          <w:highlight w:val="none"/>
          <w:u w:val="none"/>
          <w:lang w:eastAsia="zh-CN"/>
        </w:rPr>
      </w:pPr>
      <w:r>
        <w:rPr>
          <w:rFonts w:hint="eastAsia" w:ascii="仿宋_GB2312" w:hAnsi="仿宋_GB2312" w:eastAsia="仿宋_GB2312" w:cs="仿宋_GB2312"/>
          <w:color w:val="auto"/>
          <w:sz w:val="32"/>
          <w:szCs w:val="32"/>
          <w:highlight w:val="none"/>
          <w:u w:val="none"/>
        </w:rPr>
        <w:t>依据</w:t>
      </w:r>
      <w:r>
        <w:rPr>
          <w:rFonts w:hint="eastAsia" w:ascii="仿宋_GB2312" w:hAnsi="仿宋_GB2312" w:eastAsia="仿宋_GB2312" w:cs="仿宋_GB2312"/>
          <w:color w:val="auto"/>
          <w:sz w:val="32"/>
          <w:szCs w:val="32"/>
          <w:highlight w:val="none"/>
          <w:u w:val="none"/>
          <w:lang w:eastAsia="zh-CN"/>
        </w:rPr>
        <w:t>《中华人民共和国食品安全法》第一百二十六条</w:t>
      </w:r>
      <w:bookmarkStart w:id="4" w:name="tiao_126_kuan_1"/>
      <w:bookmarkEnd w:id="4"/>
      <w:r>
        <w:rPr>
          <w:rFonts w:hint="eastAsia" w:ascii="仿宋_GB2312" w:hAnsi="仿宋_GB2312" w:eastAsia="仿宋_GB2312" w:cs="仿宋_GB2312"/>
          <w:color w:val="auto"/>
          <w:sz w:val="32"/>
          <w:szCs w:val="32"/>
          <w:highlight w:val="none"/>
          <w:u w:val="none"/>
          <w:lang w:eastAsia="zh-CN"/>
        </w:rPr>
        <w:t>第一</w:t>
      </w:r>
      <w:r>
        <w:rPr>
          <w:rFonts w:hint="eastAsia" w:ascii="仿宋_GB2312" w:hAnsi="仿宋_GB2312" w:eastAsia="仿宋_GB2312" w:cs="仿宋_GB2312"/>
          <w:i w:val="0"/>
          <w:iCs w:val="0"/>
          <w:caps w:val="0"/>
          <w:color w:val="auto"/>
          <w:spacing w:val="0"/>
          <w:sz w:val="32"/>
          <w:szCs w:val="32"/>
          <w:highlight w:val="none"/>
          <w:shd w:val="clear" w:fill="FFFFFF"/>
          <w:lang w:eastAsia="zh-CN"/>
        </w:rPr>
        <w:t>款第三项</w:t>
      </w:r>
      <w:r>
        <w:rPr>
          <w:rFonts w:hint="eastAsia"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广西壮族自治区食品小作坊小餐饮和食品摊贩管理条例》第四十三条</w:t>
      </w:r>
      <w:r>
        <w:rPr>
          <w:rFonts w:hint="eastAsia" w:hAnsi="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eastAsia="zh-CN"/>
        </w:rPr>
        <w:t>《中华人民共和国行政处罚法》</w:t>
      </w:r>
      <w:r>
        <w:rPr>
          <w:rFonts w:hint="eastAsia" w:ascii="仿宋_GB2312" w:hAnsi="仿宋_GB2312" w:eastAsia="仿宋_GB2312" w:cs="仿宋_GB2312"/>
          <w:b w:val="0"/>
          <w:bCs w:val="0"/>
          <w:i w:val="0"/>
          <w:iCs w:val="0"/>
          <w:caps w:val="0"/>
          <w:color w:val="auto"/>
          <w:spacing w:val="0"/>
          <w:sz w:val="32"/>
          <w:szCs w:val="32"/>
          <w:highlight w:val="none"/>
          <w:shd w:val="clear" w:fill="FFFFFF"/>
        </w:rPr>
        <w:t>第二十八条</w:t>
      </w:r>
      <w:r>
        <w:rPr>
          <w:rFonts w:hint="eastAsia" w:ascii="仿宋_GB2312" w:hAnsi="仿宋_GB2312" w:eastAsia="仿宋_GB2312" w:cs="仿宋_GB2312"/>
          <w:b w:val="0"/>
          <w:bCs w:val="0"/>
          <w:i w:val="0"/>
          <w:iCs w:val="0"/>
          <w:caps w:val="0"/>
          <w:color w:val="auto"/>
          <w:spacing w:val="0"/>
          <w:sz w:val="32"/>
          <w:szCs w:val="32"/>
          <w:highlight w:val="none"/>
          <w:shd w:val="clear" w:fill="FFFFFF"/>
          <w:lang w:eastAsia="zh-CN"/>
        </w:rPr>
        <w:t>第二款</w:t>
      </w:r>
      <w:r>
        <w:rPr>
          <w:rFonts w:hint="default" w:ascii="Times New Roman" w:hAnsi="Times New Roman" w:eastAsia="仿宋_GB2312" w:cs="Times New Roman"/>
          <w:color w:val="auto"/>
          <w:spacing w:val="0"/>
          <w:sz w:val="32"/>
          <w:szCs w:val="32"/>
          <w:highlight w:val="none"/>
          <w:u w:val="none"/>
          <w:lang w:eastAsia="zh-CN"/>
        </w:rPr>
        <w:t>的规定，</w:t>
      </w:r>
      <w:r>
        <w:rPr>
          <w:rFonts w:hint="default" w:ascii="Times New Roman" w:hAnsi="Times New Roman" w:eastAsia="仿宋_GB2312" w:cs="Times New Roman"/>
          <w:color w:val="auto"/>
          <w:sz w:val="32"/>
          <w:szCs w:val="32"/>
          <w:highlight w:val="none"/>
          <w:u w:val="none"/>
          <w:lang w:eastAsia="zh-CN"/>
        </w:rPr>
        <w:t>我局决定</w:t>
      </w:r>
      <w:r>
        <w:rPr>
          <w:rFonts w:hint="default" w:ascii="Times New Roman" w:hAnsi="Times New Roman" w:eastAsia="仿宋_GB2312" w:cs="Times New Roman"/>
          <w:color w:val="auto"/>
          <w:spacing w:val="0"/>
          <w:sz w:val="32"/>
          <w:szCs w:val="32"/>
          <w:highlight w:val="none"/>
          <w:u w:val="none"/>
          <w:lang w:eastAsia="zh-CN"/>
        </w:rPr>
        <w:t>责令</w:t>
      </w:r>
      <w:r>
        <w:rPr>
          <w:rFonts w:hint="default" w:ascii="Times New Roman" w:hAnsi="Times New Roman" w:eastAsia="仿宋_GB2312" w:cs="Times New Roman"/>
          <w:color w:val="auto"/>
          <w:sz w:val="32"/>
          <w:szCs w:val="32"/>
          <w:highlight w:val="none"/>
          <w:u w:val="none"/>
          <w:lang w:eastAsia="zh-CN"/>
        </w:rPr>
        <w:t>当事人</w:t>
      </w:r>
      <w:r>
        <w:rPr>
          <w:rFonts w:hint="default" w:ascii="Times New Roman" w:hAnsi="Times New Roman" w:eastAsia="仿宋_GB2312" w:cs="Times New Roman"/>
          <w:color w:val="auto"/>
          <w:spacing w:val="0"/>
          <w:sz w:val="32"/>
          <w:szCs w:val="32"/>
          <w:highlight w:val="none"/>
          <w:u w:val="none"/>
          <w:lang w:eastAsia="zh-CN"/>
        </w:rPr>
        <w:t>立即改正上述违法行为，并给予当事人如下行政处罚：</w:t>
      </w:r>
    </w:p>
    <w:p w14:paraId="7C8646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1.警告；</w:t>
      </w:r>
    </w:p>
    <w:p w14:paraId="6F0AB86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2.没收违法所得</w:t>
      </w:r>
      <w:r>
        <w:rPr>
          <w:rFonts w:hint="eastAsia" w:ascii="Times New Roman" w:hAnsi="Times New Roman" w:eastAsia="仿宋_GB2312" w:cs="Times New Roman"/>
          <w:color w:val="auto"/>
          <w:spacing w:val="0"/>
          <w:sz w:val="32"/>
          <w:szCs w:val="32"/>
          <w:highlight w:val="none"/>
          <w:u w:val="none"/>
          <w:lang w:val="en-US" w:eastAsia="zh-CN"/>
        </w:rPr>
        <w:t>25</w:t>
      </w:r>
      <w:r>
        <w:rPr>
          <w:rFonts w:hint="default" w:ascii="Times New Roman" w:hAnsi="Times New Roman" w:eastAsia="仿宋_GB2312" w:cs="Times New Roman"/>
          <w:color w:val="auto"/>
          <w:spacing w:val="0"/>
          <w:sz w:val="32"/>
          <w:szCs w:val="32"/>
          <w:highlight w:val="none"/>
          <w:u w:val="none"/>
          <w:lang w:val="en-US" w:eastAsia="zh-CN"/>
        </w:rPr>
        <w:t>元。</w:t>
      </w:r>
    </w:p>
    <w:p w14:paraId="49378B8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highlight w:val="none"/>
          <w:u w:val="none"/>
          <w:lang w:val="en-US" w:eastAsia="zh-CN"/>
        </w:rPr>
        <w:t>当事人应当自收到本行政处罚决定书之</w:t>
      </w:r>
      <w:r>
        <w:rPr>
          <w:rFonts w:hint="default" w:ascii="Times New Roman" w:hAnsi="Times New Roman" w:eastAsia="仿宋_GB2312" w:cs="Times New Roman"/>
          <w:color w:val="auto"/>
          <w:spacing w:val="0"/>
          <w:sz w:val="32"/>
          <w:szCs w:val="32"/>
          <w:u w:val="none"/>
          <w:lang w:val="en-US" w:eastAsia="zh-CN"/>
        </w:rPr>
        <w:t>日起十五日内，</w:t>
      </w:r>
      <w:r>
        <w:rPr>
          <w:rFonts w:hint="default" w:ascii="Times New Roman" w:hAnsi="Times New Roman" w:eastAsia="仿宋_GB2312" w:cs="Times New Roman"/>
          <w:color w:val="auto"/>
          <w:sz w:val="32"/>
          <w:szCs w:val="32"/>
          <w:u w:val="none"/>
        </w:rPr>
        <w:t>凭《广西壮族自治区非税收入电子缴款通知书》到中国建设银行缴纳</w:t>
      </w:r>
      <w:r>
        <w:rPr>
          <w:rFonts w:hint="default" w:ascii="Times New Roman" w:hAnsi="Times New Roman" w:eastAsia="仿宋_GB2312" w:cs="Times New Roman"/>
          <w:color w:val="auto"/>
          <w:sz w:val="32"/>
          <w:szCs w:val="32"/>
          <w:u w:val="none"/>
          <w:lang w:eastAsia="zh-CN"/>
        </w:rPr>
        <w:t>上述款项</w:t>
      </w:r>
      <w:r>
        <w:rPr>
          <w:rFonts w:hint="default" w:ascii="Times New Roman" w:hAnsi="Times New Roman" w:eastAsia="仿宋_GB2312" w:cs="Times New Roman"/>
          <w:color w:val="auto"/>
          <w:spacing w:val="0"/>
          <w:sz w:val="32"/>
          <w:szCs w:val="32"/>
          <w:u w:val="none"/>
          <w:lang w:val="en-US" w:eastAsia="zh-CN"/>
        </w:rPr>
        <w:t>。逾期不缴纳的，依据《中华人民共和国行政处罚法》第七十二条的规定，我局将依法申请人民法院强制执行。</w:t>
      </w:r>
    </w:p>
    <w:p w14:paraId="6A4853F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如不服本行政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6D053356">
      <w:pPr>
        <w:pStyle w:val="6"/>
        <w:keepNext w:val="0"/>
        <w:keepLines w:val="0"/>
        <w:pageBreakBefore w:val="0"/>
        <w:widowControl w:val="0"/>
        <w:kinsoku/>
        <w:wordWrap/>
        <w:overflowPunct/>
        <w:topLinePunct w:val="0"/>
        <w:bidi w:val="0"/>
        <w:snapToGrid/>
        <w:spacing w:line="440" w:lineRule="exact"/>
        <w:rPr>
          <w:rFonts w:hint="default" w:ascii="Times New Roman" w:hAnsi="Times New Roman" w:eastAsia="仿宋_GB2312" w:cs="Times New Roman"/>
          <w:color w:val="auto"/>
          <w:sz w:val="32"/>
          <w:szCs w:val="32"/>
          <w:u w:val="none"/>
          <w:lang w:val="en-US" w:eastAsia="zh-Hans"/>
        </w:rPr>
      </w:pPr>
    </w:p>
    <w:p w14:paraId="1DD23301">
      <w:pPr>
        <w:keepNext w:val="0"/>
        <w:keepLines w:val="0"/>
        <w:pageBreakBefore w:val="0"/>
        <w:widowControl w:val="0"/>
        <w:kinsoku/>
        <w:wordWrap/>
        <w:overflowPunct/>
        <w:topLinePunct w:val="0"/>
        <w:autoSpaceDE/>
        <w:autoSpaceDN/>
        <w:bidi w:val="0"/>
        <w:snapToGrid/>
        <w:spacing w:line="440" w:lineRule="exact"/>
        <w:ind w:left="0" w:leftChars="0" w:firstLine="640" w:firstLineChars="200"/>
        <w:jc w:val="right"/>
        <w:outlineLvl w:val="9"/>
        <w:rPr>
          <w:rFonts w:hint="default" w:ascii="Times New Roman" w:hAnsi="Times New Roman" w:eastAsia="仿宋_GB2312" w:cs="Times New Roman"/>
          <w:color w:val="auto"/>
          <w:sz w:val="32"/>
          <w:szCs w:val="32"/>
          <w:u w:val="none"/>
          <w:lang w:val="en-US" w:eastAsia="zh-CN"/>
        </w:rPr>
      </w:pPr>
    </w:p>
    <w:p w14:paraId="29047E71">
      <w:pPr>
        <w:pStyle w:val="6"/>
        <w:keepNext w:val="0"/>
        <w:keepLines w:val="0"/>
        <w:pageBreakBefore w:val="0"/>
        <w:widowControl w:val="0"/>
        <w:kinsoku/>
        <w:wordWrap/>
        <w:overflowPunct/>
        <w:topLinePunct w:val="0"/>
        <w:bidi w:val="0"/>
        <w:snapToGrid/>
        <w:spacing w:line="440" w:lineRule="exact"/>
        <w:rPr>
          <w:rFonts w:hint="default" w:ascii="Times New Roman" w:hAnsi="Times New Roman" w:eastAsia="仿宋_GB2312" w:cs="Times New Roman"/>
          <w:color w:val="auto"/>
          <w:sz w:val="32"/>
          <w:szCs w:val="32"/>
          <w:u w:val="none"/>
          <w:lang w:val="en-US" w:eastAsia="zh-CN"/>
        </w:rPr>
      </w:pPr>
    </w:p>
    <w:p w14:paraId="499B8AC0">
      <w:pPr>
        <w:pStyle w:val="6"/>
        <w:keepNext w:val="0"/>
        <w:keepLines w:val="0"/>
        <w:pageBreakBefore w:val="0"/>
        <w:widowControl w:val="0"/>
        <w:kinsoku/>
        <w:wordWrap/>
        <w:overflowPunct/>
        <w:topLinePunct w:val="0"/>
        <w:bidi w:val="0"/>
        <w:snapToGrid/>
        <w:spacing w:line="440" w:lineRule="exact"/>
        <w:rPr>
          <w:rFonts w:hint="default" w:ascii="Times New Roman" w:hAnsi="Times New Roman" w:eastAsia="仿宋_GB2312" w:cs="Times New Roman"/>
          <w:color w:val="auto"/>
          <w:sz w:val="32"/>
          <w:szCs w:val="32"/>
          <w:u w:val="none"/>
          <w:lang w:val="en-US" w:eastAsia="zh-CN"/>
        </w:rPr>
      </w:pPr>
    </w:p>
    <w:p w14:paraId="6579018B">
      <w:pPr>
        <w:keepNext w:val="0"/>
        <w:keepLines w:val="0"/>
        <w:pageBreakBefore w:val="0"/>
        <w:widowControl w:val="0"/>
        <w:kinsoku/>
        <w:wordWrap/>
        <w:overflowPunct/>
        <w:topLinePunct w:val="0"/>
        <w:autoSpaceDE/>
        <w:autoSpaceDN/>
        <w:bidi w:val="0"/>
        <w:snapToGrid/>
        <w:spacing w:line="440" w:lineRule="exact"/>
        <w:ind w:left="0" w:leftChars="0" w:firstLine="640" w:firstLineChars="200"/>
        <w:jc w:val="right"/>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柳州市柳北区市场监督管理局</w:t>
      </w:r>
    </w:p>
    <w:p w14:paraId="298E345A">
      <w:pPr>
        <w:keepNext w:val="0"/>
        <w:keepLines w:val="0"/>
        <w:pageBreakBefore w:val="0"/>
        <w:widowControl w:val="0"/>
        <w:kinsoku/>
        <w:wordWrap/>
        <w:overflowPunct/>
        <w:topLinePunct w:val="0"/>
        <w:autoSpaceDE/>
        <w:autoSpaceDN/>
        <w:bidi w:val="0"/>
        <w:snapToGrid/>
        <w:spacing w:line="440" w:lineRule="exact"/>
        <w:ind w:left="0" w:leftChars="0" w:firstLine="640" w:firstLineChars="200"/>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年</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lang w:val="en-US" w:eastAsia="zh-CN"/>
        </w:rPr>
        <w:t>日</w:t>
      </w:r>
    </w:p>
    <w:p w14:paraId="5B2CDD17">
      <w:pPr>
        <w:keepNext w:val="0"/>
        <w:keepLines w:val="0"/>
        <w:pageBreakBefore w:val="0"/>
        <w:widowControl w:val="0"/>
        <w:kinsoku/>
        <w:wordWrap/>
        <w:overflowPunct/>
        <w:topLinePunct w:val="0"/>
        <w:autoSpaceDE/>
        <w:autoSpaceDN/>
        <w:bidi w:val="0"/>
        <w:snapToGrid/>
        <w:spacing w:line="560" w:lineRule="exact"/>
        <w:outlineLvl w:val="9"/>
        <w:rPr>
          <w:rFonts w:hint="default" w:ascii="Times New Roman" w:hAnsi="Times New Roman" w:eastAsia="仿宋" w:cs="Times New Roman"/>
          <w:b w:val="0"/>
          <w:bCs w:val="0"/>
          <w:color w:val="auto"/>
          <w:sz w:val="32"/>
          <w:szCs w:val="32"/>
        </w:rPr>
      </w:pPr>
    </w:p>
    <w:p w14:paraId="7AD92BCB">
      <w:pPr>
        <w:pStyle w:val="6"/>
        <w:rPr>
          <w:rFonts w:hint="default" w:ascii="Times New Roman" w:hAnsi="Times New Roman" w:eastAsia="仿宋" w:cs="Times New Roman"/>
          <w:b w:val="0"/>
          <w:bCs w:val="0"/>
          <w:color w:val="auto"/>
          <w:sz w:val="32"/>
          <w:szCs w:val="32"/>
        </w:rPr>
      </w:pPr>
    </w:p>
    <w:p w14:paraId="06159A13">
      <w:pPr>
        <w:pStyle w:val="6"/>
        <w:rPr>
          <w:rFonts w:hint="default" w:ascii="Times New Roman" w:hAnsi="Times New Roman" w:eastAsia="仿宋" w:cs="Times New Roman"/>
          <w:b w:val="0"/>
          <w:bCs w:val="0"/>
          <w:color w:val="auto"/>
          <w:sz w:val="32"/>
          <w:szCs w:val="32"/>
        </w:rPr>
      </w:pPr>
    </w:p>
    <w:p w14:paraId="624350E3">
      <w:pPr>
        <w:pStyle w:val="6"/>
        <w:rPr>
          <w:rFonts w:hint="default" w:ascii="Times New Roman" w:hAnsi="Times New Roman" w:eastAsia="仿宋" w:cs="Times New Roman"/>
          <w:b w:val="0"/>
          <w:bCs w:val="0"/>
          <w:color w:val="auto"/>
          <w:sz w:val="32"/>
          <w:szCs w:val="32"/>
        </w:rPr>
      </w:pPr>
    </w:p>
    <w:p w14:paraId="2CA4063E">
      <w:pPr>
        <w:pStyle w:val="6"/>
        <w:rPr>
          <w:rFonts w:hint="default" w:ascii="Times New Roman" w:hAnsi="Times New Roman" w:eastAsia="仿宋" w:cs="Times New Roman"/>
          <w:b w:val="0"/>
          <w:bCs w:val="0"/>
          <w:color w:val="auto"/>
          <w:sz w:val="32"/>
          <w:szCs w:val="32"/>
        </w:rPr>
      </w:pPr>
    </w:p>
    <w:p w14:paraId="6610CE4B">
      <w:pPr>
        <w:pStyle w:val="6"/>
        <w:rPr>
          <w:rFonts w:hint="default" w:ascii="Times New Roman" w:hAnsi="Times New Roman" w:eastAsia="仿宋" w:cs="Times New Roman"/>
          <w:b w:val="0"/>
          <w:bCs w:val="0"/>
          <w:color w:val="auto"/>
          <w:sz w:val="32"/>
          <w:szCs w:val="32"/>
        </w:rPr>
      </w:pPr>
    </w:p>
    <w:p w14:paraId="33651354">
      <w:pPr>
        <w:keepNext w:val="0"/>
        <w:keepLines w:val="0"/>
        <w:pageBreakBefore w:val="0"/>
        <w:widowControl w:val="0"/>
        <w:kinsoku/>
        <w:wordWrap/>
        <w:overflowPunct/>
        <w:topLinePunct w:val="0"/>
        <w:autoSpaceDE/>
        <w:autoSpaceDN/>
        <w:bidi w:val="0"/>
        <w:adjustRightInd/>
        <w:snapToGrid/>
        <w:spacing w:line="480" w:lineRule="exact"/>
        <w:ind w:left="0" w:leftChars="0" w:right="-105" w:rightChars="-50"/>
        <w:jc w:val="both"/>
        <w:textAlignment w:val="auto"/>
        <w:outlineLvl w:val="9"/>
        <w:rPr>
          <w:rFonts w:hint="default" w:ascii="Times New Roman" w:hAnsi="Times New Roman" w:eastAsia="仿宋" w:cs="Times New Roman"/>
          <w:b w:val="0"/>
          <w:bCs w:val="0"/>
          <w:color w:val="auto"/>
          <w:sz w:val="32"/>
          <w:szCs w:val="32"/>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64C4097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color w:val="auto"/>
          <w:spacing w:val="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-20320</wp:posOffset>
                </wp:positionH>
                <wp:positionV relativeFrom="paragraph">
                  <wp:posOffset>24130</wp:posOffset>
                </wp:positionV>
                <wp:extent cx="5665470" cy="6985"/>
                <wp:effectExtent l="0" t="0" r="0" b="0"/>
                <wp:wrapNone/>
                <wp:docPr id="2" name="直线 5"/>
                <wp:cNvGraphicFramePr/>
                <a:graphic xmlns:a="http://schemas.openxmlformats.org/drawingml/2006/main">
                  <a:graphicData uri="http://schemas.microsoft.com/office/word/2010/wordprocessingShape">
                    <wps:wsp>
                      <wps:cNvCnPr/>
                      <wps:spPr>
                        <a:xfrm>
                          <a:off x="0" y="0"/>
                          <a:ext cx="566547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1.6pt;margin-top:1.9pt;height:0.55pt;width:446.1pt;z-index:251659264;mso-width-relative:page;mso-height-relative:page;" filled="f" stroked="t" coordsize="21600,21600" o:gfxdata="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iusp1QAAAAYBAAAPAAAAAAAAAAEAIAAAACIAAABkcnMvZG93bnJldi54bWxQSwECFAAUAAAA&#10;CACHTuJAtb3TCPEBAADsAwAADgAAAAAAAAABACAAAAAk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u w:val="none"/>
          <w:lang w:eastAsia="zh-CN"/>
        </w:rPr>
        <w:t>本文书一式三份，一份送达，一份归档</w:t>
      </w:r>
      <w:r>
        <w:rPr>
          <w:rFonts w:hint="eastAsia" w:ascii="仿宋_GB2312" w:hAnsi="仿宋_GB2312" w:eastAsia="仿宋_GB2312" w:cs="仿宋_GB2312"/>
          <w:color w:val="auto"/>
          <w:spacing w:val="0"/>
          <w:sz w:val="32"/>
          <w:szCs w:val="32"/>
          <w:u w:val="none"/>
        </w:rPr>
        <w:t>，一份</w:t>
      </w:r>
      <w:r>
        <w:rPr>
          <w:rFonts w:hint="eastAsia" w:ascii="仿宋_GB2312" w:hAnsi="仿宋_GB2312" w:eastAsia="仿宋_GB2312" w:cs="仿宋_GB2312"/>
          <w:color w:val="auto"/>
          <w:spacing w:val="0"/>
          <w:sz w:val="32"/>
          <w:szCs w:val="32"/>
          <w:u w:val="none"/>
          <w:lang w:eastAsia="zh-CN"/>
        </w:rPr>
        <w:t>办案机构</w:t>
      </w:r>
      <w:r>
        <w:rPr>
          <w:rFonts w:hint="eastAsia" w:ascii="仿宋_GB2312" w:hAnsi="仿宋_GB2312" w:eastAsia="仿宋_GB2312" w:cs="仿宋_GB2312"/>
          <w:color w:val="auto"/>
          <w:spacing w:val="0"/>
          <w:sz w:val="32"/>
          <w:szCs w:val="32"/>
          <w:u w:val="none"/>
        </w:rPr>
        <w:t>留存</w:t>
      </w:r>
      <w:r>
        <w:rPr>
          <w:rFonts w:hint="eastAsia" w:ascii="仿宋_GB2312" w:hAnsi="仿宋_GB2312" w:eastAsia="仿宋_GB2312" w:cs="仿宋_GB2312"/>
          <w:color w:val="auto"/>
          <w:sz w:val="32"/>
          <w:szCs w:val="32"/>
          <w:u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15EE1A05"/>
    <w:rsid w:val="0E0813CF"/>
    <w:rsid w:val="15D849FF"/>
    <w:rsid w:val="15EE1A05"/>
    <w:rsid w:val="523D4070"/>
    <w:rsid w:val="6F980207"/>
    <w:rsid w:val="740A314B"/>
    <w:rsid w:val="7F3F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customStyle="1" w:styleId="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1638</Words>
  <Characters>1780</Characters>
  <Lines>0</Lines>
  <Paragraphs>0</Paragraphs>
  <TotalTime>58</TotalTime>
  <ScaleCrop>false</ScaleCrop>
  <LinksUpToDate>false</LinksUpToDate>
  <CharactersWithSpaces>1818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2026-01-30T08:06:00Z</dcterms:created>
  <dc:creator>不知秋</dc:creator>
  <cp:lastModifiedBy>河谷镇</cp:lastModifiedBy>
  <dcterms:modified xsi:type="dcterms:W3CDTF">2026-02-24T02:37:27Z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886C665711FB4331A92B88A200935317_11</vt:lpwstr>
  </property>
  <property fmtid="{D5CDD505-2E9C-101B-9397-08002B2CF9AE}" pid="4" name="KSOTemplateDocerSaveRecord">
    <vt:lpwstr>eyJoZGlkIjoiNjljYzBiNmJkNjNmYjA3MDkwNzQ4ZTM5NDc1MTY5NDgiLCJ1c2VySWQiOiI0OTg3NTAzNTcifQ==</vt:lpwstr>
  </property>
</Properties>
</file>