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895C6">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eastAsia" w:ascii="方正小标宋简体" w:hAnsi="方正小标宋简体" w:eastAsia="方正小标宋简体" w:cs="方正小标宋简体"/>
          <w:color w:val="auto"/>
          <w:sz w:val="44"/>
          <w:u w:val="none"/>
          <w:lang w:eastAsia="zh-CN"/>
        </w:rPr>
        <w:t>柳州市</w:t>
      </w:r>
      <w:r>
        <w:rPr>
          <w:rFonts w:hint="default" w:ascii="方正小标宋简体" w:hAnsi="方正小标宋简体" w:eastAsia="方正小标宋简体" w:cs="方正小标宋简体"/>
          <w:color w:val="auto"/>
          <w:sz w:val="44"/>
          <w:u w:val="none"/>
        </w:rPr>
        <w:t>柳北区市场监督管理局</w:t>
      </w:r>
      <w:bookmarkEnd w:id="0"/>
    </w:p>
    <w:p w14:paraId="6C99FE86">
      <w:pPr>
        <w:pStyle w:val="3"/>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auto"/>
          <w:sz w:val="44"/>
          <w:szCs w:val="44"/>
          <w:u w:val="none"/>
          <w:lang w:val="en-US"/>
        </w:rPr>
        <w:t>行政处罚</w:t>
      </w:r>
      <w:r>
        <w:rPr>
          <w:rFonts w:hint="eastAsia" w:hAnsi="方正小标宋简体" w:eastAsia="方正小标宋简体" w:cs="方正小标宋简体"/>
          <w:color w:val="auto"/>
          <w:sz w:val="44"/>
          <w:szCs w:val="44"/>
          <w:u w:val="none"/>
          <w:lang w:val="en-US" w:eastAsia="zh-Hans"/>
        </w:rPr>
        <w:t>决定</w:t>
      </w:r>
      <w:r>
        <w:rPr>
          <w:rFonts w:hint="eastAsia" w:hAnsi="方正小标宋简体" w:eastAsia="方正小标宋简体" w:cs="方正小标宋简体"/>
          <w:color w:val="auto"/>
          <w:sz w:val="44"/>
          <w:szCs w:val="44"/>
          <w:u w:val="none"/>
          <w:lang w:val="en-US"/>
        </w:rPr>
        <w:t>书</w:t>
      </w:r>
      <w:bookmarkEnd w:id="1"/>
    </w:p>
    <w:p w14:paraId="413027C7">
      <w:pPr>
        <w:widowControl/>
        <w:snapToGrid w:val="0"/>
        <w:spacing w:line="560" w:lineRule="exact"/>
        <w:ind w:right="55"/>
        <w:jc w:val="center"/>
        <w:outlineLvl w:val="1"/>
        <w:rPr>
          <w:rFonts w:hint="eastAsia" w:ascii="仿宋_GB2312" w:hAnsi="仿宋_GB2312" w:eastAsia="仿宋_GB2312" w:cs="仿宋_GB2312"/>
          <w:bCs/>
          <w:color w:val="auto"/>
          <w:sz w:val="32"/>
          <w:szCs w:val="32"/>
          <w:highlight w:val="none"/>
        </w:rPr>
      </w:pPr>
      <w:bookmarkStart w:id="2" w:name="tAj_wh"/>
      <w:r>
        <w:rPr>
          <w:rFonts w:hint="eastAsia" w:ascii="仿宋_GB2312" w:hAnsi="仿宋_GB2312" w:eastAsia="仿宋_GB2312" w:cs="仿宋_GB2312"/>
          <w:color w:val="auto"/>
          <w:sz w:val="32"/>
          <w:highlight w:val="none"/>
          <w:u w:val="none"/>
        </w:rPr>
        <w:t>柳北市监处罚〔202</w:t>
      </w:r>
      <w:r>
        <w:rPr>
          <w:rFonts w:hint="eastAsia" w:ascii="仿宋_GB2312" w:hAnsi="仿宋_GB2312" w:eastAsia="仿宋_GB2312" w:cs="仿宋_GB2312"/>
          <w:color w:val="auto"/>
          <w:sz w:val="32"/>
          <w:highlight w:val="none"/>
          <w:u w:val="none"/>
          <w:lang w:val="en-US" w:eastAsia="zh-CN"/>
        </w:rPr>
        <w:t>5</w:t>
      </w:r>
      <w:r>
        <w:rPr>
          <w:rFonts w:hint="eastAsia" w:ascii="仿宋_GB2312" w:hAnsi="仿宋_GB2312" w:eastAsia="仿宋_GB2312" w:cs="仿宋_GB2312"/>
          <w:color w:val="auto"/>
          <w:sz w:val="32"/>
          <w:highlight w:val="none"/>
          <w:u w:val="none"/>
        </w:rPr>
        <w:t>〕</w:t>
      </w:r>
      <w:r>
        <w:rPr>
          <w:rFonts w:hint="eastAsia" w:ascii="仿宋_GB2312" w:hAnsi="仿宋_GB2312" w:eastAsia="仿宋_GB2312" w:cs="仿宋_GB2312"/>
          <w:color w:val="auto"/>
          <w:sz w:val="32"/>
          <w:highlight w:val="none"/>
          <w:u w:val="none"/>
          <w:lang w:val="en-US" w:eastAsia="zh-CN"/>
        </w:rPr>
        <w:t>140</w:t>
      </w:r>
      <w:r>
        <w:rPr>
          <w:rFonts w:hint="eastAsia" w:ascii="仿宋_GB2312" w:hAnsi="仿宋_GB2312" w:eastAsia="仿宋_GB2312" w:cs="仿宋_GB2312"/>
          <w:color w:val="auto"/>
          <w:sz w:val="32"/>
          <w:highlight w:val="none"/>
          <w:u w:val="none"/>
        </w:rPr>
        <w:t>号</w:t>
      </w:r>
      <w:bookmarkEnd w:id="2"/>
    </w:p>
    <w:p w14:paraId="6CE68246">
      <w:pPr>
        <w:keepNext w:val="0"/>
        <w:keepLines w:val="0"/>
        <w:pageBreakBefore w:val="0"/>
        <w:kinsoku/>
        <w:wordWrap/>
        <w:overflowPunct/>
        <w:topLinePunct w:val="0"/>
        <w:autoSpaceDE/>
        <w:autoSpaceDN/>
        <w:bidi w:val="0"/>
        <w:snapToGrid/>
        <w:spacing w:line="460" w:lineRule="exact"/>
        <w:ind w:left="0" w:leftChars="0" w:firstLine="0" w:firstLineChars="0"/>
        <w:textAlignment w:val="auto"/>
        <w:rPr>
          <w:rFonts w:hint="eastAsia" w:ascii="仿宋_GB2312" w:hAnsi="仿宋_GB2312" w:eastAsia="仿宋_GB2312" w:cs="仿宋_GB2312"/>
          <w:color w:val="auto"/>
          <w:sz w:val="32"/>
          <w:szCs w:val="32"/>
          <w:u w:val="none"/>
          <w:lang w:val="en-US" w:eastAsia="zh-CN"/>
        </w:rPr>
      </w:pPr>
    </w:p>
    <w:p w14:paraId="432FBCB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当事人：柳州市柳北区纪刚火锅店</w:t>
      </w:r>
      <w:r>
        <w:rPr>
          <w:rFonts w:hint="default"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val="en-US" w:eastAsia="zh-CN"/>
        </w:rPr>
        <w:t xml:space="preserve">       </w:t>
      </w:r>
    </w:p>
    <w:p w14:paraId="14FD5E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主体资格证照名称：</w:t>
      </w:r>
      <w:bookmarkStart w:id="3" w:name="CALCULATE—DSR—tAjDsrs_cZtzgzzmc"/>
      <w:r>
        <w:rPr>
          <w:rFonts w:hint="eastAsia" w:ascii="仿宋_GB2312" w:hAnsi="仿宋_GB2312" w:eastAsia="仿宋_GB2312" w:cs="仿宋_GB2312"/>
          <w:color w:val="auto"/>
          <w:sz w:val="32"/>
          <w:szCs w:val="32"/>
          <w:u w:val="none"/>
          <w:lang w:val="en-US" w:eastAsia="zh-CN"/>
        </w:rPr>
        <w:t>营业执照</w:t>
      </w:r>
      <w:bookmarkEnd w:id="3"/>
      <w:r>
        <w:rPr>
          <w:rFonts w:hint="eastAsia" w:ascii="仿宋_GB2312" w:hAnsi="仿宋_GB2312" w:eastAsia="仿宋_GB2312" w:cs="仿宋_GB2312"/>
          <w:color w:val="auto"/>
          <w:sz w:val="32"/>
          <w:szCs w:val="32"/>
          <w:u w:val="none"/>
          <w:lang w:val="en-US" w:eastAsia="zh-CN"/>
        </w:rPr>
        <w:t xml:space="preserve">                                  </w:t>
      </w:r>
    </w:p>
    <w:p w14:paraId="4BBDDF63">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统一社会信用代码：92450205MA5MCUB978                                </w:t>
      </w:r>
    </w:p>
    <w:p w14:paraId="7D0CB77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经营场所：柳州市柳北区北雀路55号8号门面                                     </w:t>
      </w:r>
    </w:p>
    <w:p w14:paraId="4AFA8F9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经营者：黄纪刚                    </w:t>
      </w:r>
    </w:p>
    <w:p w14:paraId="213A9204">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身份证件号码：*</w:t>
      </w:r>
    </w:p>
    <w:p w14:paraId="1E63C8D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 xml:space="preserve">  </w:t>
      </w:r>
    </w:p>
    <w:p w14:paraId="4C56E9F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2025年8月18日我局执法人员对当事人经营场所进行检查，检查时当事人正在从事餐饮服务经营活动，且未能出示《食品经营许可证》等相关证件。</w:t>
      </w:r>
      <w:r>
        <w:rPr>
          <w:rFonts w:hint="eastAsia" w:ascii="仿宋_GB2312" w:hAnsi="仿宋_GB2312" w:eastAsia="仿宋_GB2312" w:cs="仿宋_GB2312"/>
          <w:color w:val="auto"/>
          <w:sz w:val="32"/>
          <w:szCs w:val="32"/>
          <w:u w:val="none"/>
          <w:lang w:eastAsia="zh-CN"/>
        </w:rPr>
        <w:t>我局于202</w:t>
      </w: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lang w:eastAsia="zh-CN"/>
        </w:rPr>
        <w:t>年</w:t>
      </w:r>
      <w:r>
        <w:rPr>
          <w:rFonts w:hint="eastAsia" w:ascii="仿宋_GB2312" w:hAnsi="仿宋_GB2312" w:eastAsia="仿宋_GB2312" w:cs="仿宋_GB2312"/>
          <w:color w:val="auto"/>
          <w:sz w:val="32"/>
          <w:szCs w:val="32"/>
          <w:u w:val="none"/>
          <w:lang w:val="en-US" w:eastAsia="zh-CN"/>
        </w:rPr>
        <w:t>8</w:t>
      </w:r>
      <w:r>
        <w:rPr>
          <w:rFonts w:hint="eastAsia" w:ascii="仿宋_GB2312" w:hAnsi="仿宋_GB2312" w:eastAsia="仿宋_GB2312" w:cs="仿宋_GB2312"/>
          <w:color w:val="auto"/>
          <w:sz w:val="32"/>
          <w:szCs w:val="32"/>
          <w:u w:val="none"/>
          <w:lang w:eastAsia="zh-CN"/>
        </w:rPr>
        <w:t>月</w:t>
      </w:r>
      <w:r>
        <w:rPr>
          <w:rFonts w:hint="eastAsia" w:ascii="仿宋_GB2312" w:hAnsi="仿宋_GB2312" w:eastAsia="仿宋_GB2312" w:cs="仿宋_GB2312"/>
          <w:color w:val="auto"/>
          <w:sz w:val="32"/>
          <w:szCs w:val="32"/>
          <w:u w:val="none"/>
          <w:lang w:val="en-US" w:eastAsia="zh-CN"/>
        </w:rPr>
        <w:t>19</w:t>
      </w:r>
      <w:r>
        <w:rPr>
          <w:rFonts w:hint="eastAsia" w:ascii="仿宋_GB2312" w:hAnsi="仿宋_GB2312" w:eastAsia="仿宋_GB2312" w:cs="仿宋_GB2312"/>
          <w:color w:val="auto"/>
          <w:sz w:val="32"/>
          <w:szCs w:val="32"/>
          <w:u w:val="none"/>
          <w:lang w:eastAsia="zh-CN"/>
        </w:rPr>
        <w:t>日对当事人涉嫌</w:t>
      </w:r>
      <w:r>
        <w:rPr>
          <w:rFonts w:hint="eastAsia" w:ascii="仿宋_GB2312" w:hAnsi="仿宋_GB2312" w:eastAsia="仿宋_GB2312" w:cs="仿宋_GB2312"/>
          <w:color w:val="auto"/>
          <w:sz w:val="32"/>
          <w:szCs w:val="32"/>
          <w:u w:val="none"/>
          <w:lang w:val="en-US" w:eastAsia="zh-CN"/>
        </w:rPr>
        <w:t>未经许可从事餐饮服务经营活动的行为</w:t>
      </w:r>
      <w:r>
        <w:rPr>
          <w:rFonts w:hint="eastAsia" w:ascii="仿宋_GB2312" w:hAnsi="仿宋_GB2312" w:eastAsia="仿宋_GB2312" w:cs="仿宋_GB2312"/>
          <w:color w:val="auto"/>
          <w:sz w:val="32"/>
          <w:szCs w:val="32"/>
          <w:u w:val="none"/>
          <w:lang w:eastAsia="zh-CN"/>
        </w:rPr>
        <w:t>进行立案调查。</w:t>
      </w:r>
    </w:p>
    <w:p w14:paraId="4040119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经查实，当事人</w:t>
      </w:r>
      <w:r>
        <w:rPr>
          <w:rFonts w:hint="eastAsia" w:ascii="仿宋_GB2312" w:hAnsi="仿宋_GB2312" w:eastAsia="仿宋_GB2312" w:cs="仿宋_GB2312"/>
          <w:color w:val="auto"/>
          <w:sz w:val="32"/>
          <w:szCs w:val="32"/>
          <w:u w:val="none"/>
          <w:lang w:val="en-US" w:eastAsia="zh-CN"/>
        </w:rPr>
        <w:t>于2025年7月5日开始，在未依法取得食品经营许可的情况下，在</w:t>
      </w:r>
      <w:r>
        <w:rPr>
          <w:rFonts w:hint="eastAsia" w:ascii="仿宋_GB2312" w:hAnsi="仿宋_GB2312" w:eastAsia="仿宋_GB2312" w:cs="仿宋_GB2312"/>
          <w:color w:val="auto"/>
          <w:sz w:val="32"/>
          <w:szCs w:val="32"/>
          <w:u w:val="none"/>
          <w:lang w:eastAsia="zh-CN"/>
        </w:rPr>
        <w:t>柳州市柳北区北雀路</w:t>
      </w:r>
      <w:r>
        <w:rPr>
          <w:rFonts w:hint="eastAsia" w:ascii="仿宋_GB2312" w:hAnsi="仿宋_GB2312" w:eastAsia="仿宋_GB2312" w:cs="仿宋_GB2312"/>
          <w:color w:val="auto"/>
          <w:sz w:val="32"/>
          <w:szCs w:val="32"/>
          <w:u w:val="none"/>
          <w:lang w:val="en-US" w:eastAsia="zh-CN"/>
        </w:rPr>
        <w:t>55号8号门面从事餐饮服务经营活动，于2025年8月18日被我局依法查获时，营业收入共计9348元。另外查明当事人的</w:t>
      </w:r>
      <w:r>
        <w:rPr>
          <w:rFonts w:hint="eastAsia" w:ascii="仿宋_GB2312" w:hAnsi="仿宋_GB2312" w:eastAsia="仿宋_GB2312" w:cs="仿宋_GB2312"/>
          <w:color w:val="auto"/>
          <w:sz w:val="32"/>
          <w:szCs w:val="32"/>
          <w:u w:val="none"/>
          <w:lang w:eastAsia="zh-CN"/>
        </w:rPr>
        <w:t>厨房与外界相通的门未能正常关闭，就餐区未设置有门</w:t>
      </w:r>
      <w:r>
        <w:rPr>
          <w:rFonts w:hint="eastAsia" w:ascii="仿宋_GB2312" w:hAnsi="仿宋_GB2312" w:eastAsia="仿宋_GB2312" w:cs="仿宋_GB2312"/>
          <w:color w:val="auto"/>
          <w:sz w:val="32"/>
          <w:szCs w:val="32"/>
          <w:u w:val="none"/>
          <w:lang w:val="en-US" w:eastAsia="zh-CN"/>
        </w:rPr>
        <w:t>，当事人在购进食品原料时未查验供货者的许可证和食品合格证明文件。</w:t>
      </w:r>
    </w:p>
    <w:p w14:paraId="2F48057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上述事实，主要有以下证据证明：</w:t>
      </w:r>
    </w:p>
    <w:p w14:paraId="62F897C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1.</w:t>
      </w:r>
      <w:r>
        <w:rPr>
          <w:rFonts w:hint="eastAsia" w:ascii="仿宋_GB2312" w:hAnsi="仿宋_GB2312" w:eastAsia="仿宋_GB2312" w:cs="仿宋_GB2312"/>
          <w:color w:val="auto"/>
          <w:sz w:val="32"/>
          <w:szCs w:val="32"/>
          <w:u w:val="none"/>
          <w:lang w:val="en-US" w:eastAsia="zh-CN"/>
        </w:rPr>
        <w:t>当事人的《营业执照》、经营者身份证复印件、授权委托书、被委托人的身份证复印件，证明当事人的经营主体资格、经营者及被委托人的身份信息。</w:t>
      </w:r>
    </w:p>
    <w:p w14:paraId="4808FD5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2.现场笔录</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lang w:eastAsia="zh-CN"/>
        </w:rPr>
        <w:t>份，询问笔录</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lang w:eastAsia="zh-CN"/>
        </w:rPr>
        <w:t>份，证据提取单</w:t>
      </w:r>
      <w:r>
        <w:rPr>
          <w:rFonts w:hint="eastAsia" w:ascii="仿宋_GB2312" w:hAnsi="仿宋_GB2312" w:eastAsia="仿宋_GB2312" w:cs="仿宋_GB2312"/>
          <w:color w:val="auto"/>
          <w:sz w:val="32"/>
          <w:szCs w:val="32"/>
          <w:u w:val="none"/>
          <w:lang w:val="en-US" w:eastAsia="zh-CN"/>
        </w:rPr>
        <w:t>3</w:t>
      </w:r>
      <w:r>
        <w:rPr>
          <w:rFonts w:hint="eastAsia" w:ascii="仿宋_GB2312" w:hAnsi="仿宋_GB2312" w:eastAsia="仿宋_GB2312" w:cs="仿宋_GB2312"/>
          <w:color w:val="auto"/>
          <w:sz w:val="32"/>
          <w:szCs w:val="32"/>
          <w:u w:val="none"/>
          <w:lang w:eastAsia="zh-CN"/>
        </w:rPr>
        <w:t>份，</w:t>
      </w:r>
      <w:r>
        <w:rPr>
          <w:rFonts w:hint="eastAsia" w:ascii="仿宋_GB2312" w:hAnsi="仿宋_GB2312" w:eastAsia="仿宋_GB2312" w:cs="仿宋_GB2312"/>
          <w:color w:val="auto"/>
          <w:sz w:val="32"/>
          <w:szCs w:val="32"/>
          <w:u w:val="none"/>
          <w:lang w:val="en-US" w:eastAsia="zh-CN"/>
        </w:rPr>
        <w:t>当事人提供的营业收入明细表2页，</w:t>
      </w:r>
      <w:r>
        <w:rPr>
          <w:rFonts w:hint="eastAsia" w:ascii="仿宋_GB2312" w:hAnsi="仿宋_GB2312" w:eastAsia="仿宋_GB2312" w:cs="仿宋_GB2312"/>
          <w:color w:val="auto"/>
          <w:sz w:val="32"/>
          <w:szCs w:val="32"/>
          <w:u w:val="none"/>
          <w:lang w:eastAsia="zh-CN"/>
        </w:rPr>
        <w:t>证明当事人存在</w:t>
      </w:r>
      <w:r>
        <w:rPr>
          <w:rFonts w:hint="eastAsia" w:ascii="仿宋_GB2312" w:hAnsi="仿宋_GB2312" w:eastAsia="仿宋_GB2312" w:cs="仿宋_GB2312"/>
          <w:color w:val="auto"/>
          <w:sz w:val="32"/>
          <w:szCs w:val="32"/>
          <w:u w:val="none"/>
          <w:lang w:val="en-US" w:eastAsia="zh-CN"/>
        </w:rPr>
        <w:t>在未依法取得食品经营许可的情况下，在</w:t>
      </w:r>
      <w:r>
        <w:rPr>
          <w:rFonts w:hint="eastAsia" w:ascii="仿宋_GB2312" w:hAnsi="仿宋_GB2312" w:eastAsia="仿宋_GB2312" w:cs="仿宋_GB2312"/>
          <w:color w:val="auto"/>
          <w:sz w:val="32"/>
          <w:szCs w:val="32"/>
          <w:u w:val="none"/>
          <w:lang w:eastAsia="zh-CN"/>
        </w:rPr>
        <w:t>柳州市柳北区北雀路</w:t>
      </w:r>
      <w:r>
        <w:rPr>
          <w:rFonts w:hint="eastAsia" w:ascii="仿宋_GB2312" w:hAnsi="仿宋_GB2312" w:eastAsia="仿宋_GB2312" w:cs="仿宋_GB2312"/>
          <w:color w:val="auto"/>
          <w:sz w:val="32"/>
          <w:szCs w:val="32"/>
          <w:u w:val="none"/>
          <w:lang w:val="en-US" w:eastAsia="zh-CN"/>
        </w:rPr>
        <w:t>55号8号门面从事餐饮服务经营活动</w:t>
      </w:r>
      <w:r>
        <w:rPr>
          <w:rFonts w:hint="eastAsia" w:ascii="仿宋_GB2312" w:hAnsi="仿宋_GB2312" w:eastAsia="仿宋_GB2312" w:cs="仿宋_GB2312"/>
          <w:color w:val="auto"/>
          <w:sz w:val="32"/>
          <w:szCs w:val="32"/>
          <w:u w:val="none"/>
          <w:lang w:eastAsia="zh-CN"/>
        </w:rPr>
        <w:t>的事实，以及</w:t>
      </w:r>
      <w:r>
        <w:rPr>
          <w:rFonts w:hint="eastAsia" w:ascii="仿宋_GB2312" w:hAnsi="仿宋_GB2312" w:eastAsia="仿宋_GB2312" w:cs="仿宋_GB2312"/>
          <w:color w:val="auto"/>
          <w:sz w:val="32"/>
          <w:szCs w:val="32"/>
          <w:u w:val="none"/>
          <w:lang w:val="en-US" w:eastAsia="zh-CN"/>
        </w:rPr>
        <w:t>当事人的</w:t>
      </w:r>
      <w:r>
        <w:rPr>
          <w:rFonts w:hint="eastAsia" w:ascii="仿宋_GB2312" w:hAnsi="仿宋_GB2312" w:eastAsia="仿宋_GB2312" w:cs="仿宋_GB2312"/>
          <w:color w:val="auto"/>
          <w:sz w:val="32"/>
          <w:szCs w:val="32"/>
          <w:u w:val="none"/>
          <w:lang w:eastAsia="zh-CN"/>
        </w:rPr>
        <w:t>厨房与外界相通的门未能正常关闭，就餐区未设置有门</w:t>
      </w:r>
      <w:r>
        <w:rPr>
          <w:rFonts w:hint="eastAsia" w:ascii="仿宋_GB2312" w:hAnsi="仿宋_GB2312" w:eastAsia="仿宋_GB2312" w:cs="仿宋_GB2312"/>
          <w:color w:val="auto"/>
          <w:sz w:val="32"/>
          <w:szCs w:val="32"/>
          <w:u w:val="none"/>
          <w:lang w:val="en-US" w:eastAsia="zh-CN"/>
        </w:rPr>
        <w:t>，在购进食品原料时未查验供货者的许可证和食品合格证明文件的事实</w:t>
      </w:r>
      <w:r>
        <w:rPr>
          <w:rFonts w:hint="eastAsia" w:ascii="仿宋_GB2312" w:hAnsi="仿宋_GB2312" w:eastAsia="仿宋_GB2312" w:cs="仿宋_GB2312"/>
          <w:color w:val="auto"/>
          <w:sz w:val="32"/>
          <w:szCs w:val="32"/>
          <w:u w:val="none"/>
          <w:lang w:eastAsia="zh-CN"/>
        </w:rPr>
        <w:t>。</w:t>
      </w:r>
    </w:p>
    <w:p w14:paraId="780755D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3.整改报告1份，</w:t>
      </w:r>
      <w:r>
        <w:rPr>
          <w:rFonts w:hint="eastAsia" w:ascii="仿宋_GB2312" w:hAnsi="仿宋_GB2312" w:eastAsia="仿宋_GB2312" w:cs="仿宋_GB2312"/>
          <w:color w:val="auto"/>
          <w:sz w:val="32"/>
          <w:szCs w:val="32"/>
          <w:u w:val="none"/>
          <w:lang w:eastAsia="zh-CN"/>
        </w:rPr>
        <w:t>整改材料</w:t>
      </w:r>
      <w:r>
        <w:rPr>
          <w:rFonts w:hint="eastAsia" w:ascii="仿宋_GB2312" w:hAnsi="仿宋_GB2312" w:eastAsia="仿宋_GB2312" w:cs="仿宋_GB2312"/>
          <w:color w:val="auto"/>
          <w:sz w:val="32"/>
          <w:szCs w:val="32"/>
          <w:u w:val="none"/>
          <w:lang w:val="en-US" w:eastAsia="zh-CN"/>
        </w:rPr>
        <w:t>8</w:t>
      </w:r>
      <w:r>
        <w:rPr>
          <w:rFonts w:hint="eastAsia" w:ascii="仿宋_GB2312" w:hAnsi="仿宋_GB2312" w:eastAsia="仿宋_GB2312" w:cs="仿宋_GB2312"/>
          <w:color w:val="auto"/>
          <w:sz w:val="32"/>
          <w:szCs w:val="32"/>
          <w:u w:val="none"/>
          <w:lang w:eastAsia="zh-CN"/>
        </w:rPr>
        <w:t>份，当事人的《食品经营许可证》复印件</w:t>
      </w:r>
      <w:r>
        <w:rPr>
          <w:rFonts w:hint="eastAsia" w:ascii="仿宋_GB2312" w:hAnsi="仿宋_GB2312" w:eastAsia="仿宋_GB2312" w:cs="仿宋_GB2312"/>
          <w:color w:val="auto"/>
          <w:sz w:val="32"/>
          <w:szCs w:val="32"/>
          <w:u w:val="none"/>
          <w:lang w:val="en-US" w:eastAsia="zh-CN"/>
        </w:rPr>
        <w:t>1份，</w:t>
      </w:r>
      <w:r>
        <w:rPr>
          <w:rFonts w:hint="eastAsia" w:ascii="仿宋_GB2312" w:hAnsi="仿宋_GB2312" w:eastAsia="仿宋_GB2312" w:cs="仿宋_GB2312"/>
          <w:color w:val="auto"/>
          <w:sz w:val="32"/>
          <w:szCs w:val="32"/>
          <w:u w:val="none"/>
          <w:lang w:eastAsia="zh-CN"/>
        </w:rPr>
        <w:t>证明当事人</w:t>
      </w:r>
      <w:r>
        <w:rPr>
          <w:rFonts w:hint="eastAsia" w:ascii="仿宋_GB2312" w:hAnsi="仿宋_GB2312" w:eastAsia="仿宋_GB2312" w:cs="仿宋_GB2312"/>
          <w:color w:val="auto"/>
          <w:sz w:val="32"/>
          <w:szCs w:val="32"/>
          <w:u w:val="none"/>
          <w:lang w:val="en-US" w:eastAsia="zh-CN"/>
        </w:rPr>
        <w:t>的</w:t>
      </w:r>
      <w:r>
        <w:rPr>
          <w:rFonts w:hint="eastAsia" w:ascii="仿宋_GB2312" w:hAnsi="仿宋_GB2312" w:eastAsia="仿宋_GB2312" w:cs="仿宋_GB2312"/>
          <w:color w:val="auto"/>
          <w:sz w:val="32"/>
          <w:szCs w:val="32"/>
          <w:u w:val="none"/>
          <w:lang w:eastAsia="zh-CN"/>
        </w:rPr>
        <w:t>整改情况。</w:t>
      </w:r>
    </w:p>
    <w:p w14:paraId="20BEBCC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以上证据均由当事人的被委托人签名认可。</w:t>
      </w:r>
      <w:r>
        <w:rPr>
          <w:rFonts w:hint="eastAsia" w:ascii="仿宋_GB2312" w:hAnsi="仿宋_GB2312" w:eastAsia="仿宋_GB2312" w:cs="仿宋_GB2312"/>
          <w:color w:val="auto"/>
          <w:sz w:val="32"/>
          <w:szCs w:val="32"/>
          <w:u w:val="none"/>
          <w:lang w:eastAsia="zh-CN"/>
        </w:rPr>
        <w:t xml:space="preserve">                 </w:t>
      </w:r>
    </w:p>
    <w:p w14:paraId="18A4383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我局于202</w:t>
      </w: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lang w:eastAsia="zh-CN"/>
        </w:rPr>
        <w:t>年</w:t>
      </w:r>
      <w:r>
        <w:rPr>
          <w:rFonts w:hint="eastAsia" w:ascii="仿宋_GB2312" w:hAnsi="仿宋_GB2312" w:eastAsia="仿宋_GB2312" w:cs="仿宋_GB2312"/>
          <w:color w:val="auto"/>
          <w:sz w:val="32"/>
          <w:szCs w:val="32"/>
          <w:u w:val="none"/>
          <w:lang w:val="en-US" w:eastAsia="zh-CN"/>
        </w:rPr>
        <w:t>9</w:t>
      </w:r>
      <w:r>
        <w:rPr>
          <w:rFonts w:hint="eastAsia" w:ascii="仿宋_GB2312" w:hAnsi="仿宋_GB2312" w:eastAsia="仿宋_GB2312" w:cs="仿宋_GB2312"/>
          <w:color w:val="auto"/>
          <w:sz w:val="32"/>
          <w:szCs w:val="32"/>
          <w:u w:val="none"/>
          <w:lang w:eastAsia="zh-CN"/>
        </w:rPr>
        <w:t>月</w:t>
      </w:r>
      <w:r>
        <w:rPr>
          <w:rFonts w:hint="eastAsia" w:ascii="仿宋_GB2312" w:hAnsi="仿宋_GB2312" w:eastAsia="仿宋_GB2312" w:cs="仿宋_GB2312"/>
          <w:color w:val="auto"/>
          <w:sz w:val="32"/>
          <w:szCs w:val="32"/>
          <w:u w:val="none"/>
          <w:lang w:val="en-US" w:eastAsia="zh-CN"/>
        </w:rPr>
        <w:t>23</w:t>
      </w:r>
      <w:r>
        <w:rPr>
          <w:rFonts w:hint="eastAsia" w:ascii="仿宋_GB2312" w:hAnsi="仿宋_GB2312" w:eastAsia="仿宋_GB2312" w:cs="仿宋_GB2312"/>
          <w:color w:val="auto"/>
          <w:sz w:val="32"/>
          <w:szCs w:val="32"/>
          <w:u w:val="none"/>
          <w:lang w:eastAsia="zh-CN"/>
        </w:rPr>
        <w:t>日向当事人送达了《行政处罚告知书》（柳北市监罚告〔</w:t>
      </w:r>
      <w:r>
        <w:rPr>
          <w:rFonts w:hint="eastAsia" w:ascii="仿宋_GB2312" w:hAnsi="仿宋_GB2312" w:eastAsia="仿宋_GB2312" w:cs="仿宋_GB2312"/>
          <w:color w:val="auto"/>
          <w:sz w:val="32"/>
          <w:szCs w:val="32"/>
          <w:u w:val="none"/>
          <w:lang w:val="en-US" w:eastAsia="zh-CN"/>
        </w:rPr>
        <w:t>2025</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159</w:t>
      </w:r>
      <w:r>
        <w:rPr>
          <w:rFonts w:hint="eastAsia" w:ascii="仿宋_GB2312" w:hAnsi="仿宋_GB2312" w:eastAsia="仿宋_GB2312" w:cs="仿宋_GB2312"/>
          <w:color w:val="auto"/>
          <w:sz w:val="32"/>
          <w:szCs w:val="32"/>
          <w:u w:val="none"/>
          <w:lang w:eastAsia="zh-CN"/>
        </w:rPr>
        <w:t>号），告知当事人我局拟</w:t>
      </w:r>
      <w:r>
        <w:rPr>
          <w:rFonts w:hint="eastAsia" w:ascii="仿宋_GB2312" w:hAnsi="仿宋_GB2312" w:eastAsia="仿宋_GB2312" w:cs="仿宋_GB2312"/>
          <w:color w:val="auto"/>
          <w:sz w:val="32"/>
          <w:szCs w:val="32"/>
          <w:u w:val="none"/>
          <w:lang w:val="en-US" w:eastAsia="zh-CN"/>
        </w:rPr>
        <w:t>作出</w:t>
      </w:r>
      <w:r>
        <w:rPr>
          <w:rFonts w:hint="eastAsia" w:ascii="仿宋_GB2312" w:hAnsi="仿宋_GB2312" w:eastAsia="仿宋_GB2312" w:cs="仿宋_GB2312"/>
          <w:color w:val="auto"/>
          <w:sz w:val="32"/>
          <w:szCs w:val="32"/>
          <w:u w:val="none"/>
          <w:lang w:eastAsia="zh-CN"/>
        </w:rPr>
        <w:t xml:space="preserve">行政处罚的事实、理由、依据、处罚内容及享有的权利。当事人在法定期限内未提出陈述、申辩，也未要求举行听证。   </w:t>
      </w:r>
    </w:p>
    <w:p w14:paraId="2ADD46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当事人未经许可从事餐饮服务经营活动的行为</w:t>
      </w:r>
      <w:r>
        <w:rPr>
          <w:rFonts w:hint="eastAsia" w:ascii="仿宋_GB2312" w:hAnsi="仿宋_GB2312" w:eastAsia="仿宋_GB2312" w:cs="仿宋_GB2312"/>
          <w:color w:val="auto"/>
          <w:sz w:val="32"/>
          <w:szCs w:val="32"/>
          <w:u w:val="none"/>
          <w:lang w:eastAsia="zh-CN"/>
        </w:rPr>
        <w:t>，违反了《中华人民共和国食品安全法》第三十五条第一款的规定，属于未取得食品经营许可从事食品经营活动的行为。</w:t>
      </w:r>
      <w:r>
        <w:rPr>
          <w:rFonts w:hint="eastAsia" w:ascii="仿宋_GB2312" w:hAnsi="仿宋_GB2312" w:eastAsia="仿宋_GB2312" w:cs="仿宋_GB2312"/>
          <w:color w:val="auto"/>
          <w:sz w:val="32"/>
          <w:szCs w:val="32"/>
          <w:u w:val="none"/>
          <w:lang w:val="en-US" w:eastAsia="zh-CN"/>
        </w:rPr>
        <w:t>本案货值金额9348元，违法所得9348元。</w:t>
      </w:r>
    </w:p>
    <w:p w14:paraId="6240CE4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当事人在购进食品原料时未查验供货者的许可证和食品合格证明文件的行为，违反了《中华人民共和国食品安全法》第五十三条第一款的规定，属于进货时未查验许可证和相关证明文件行为。</w:t>
      </w:r>
    </w:p>
    <w:p w14:paraId="7B6DBC6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当事人</w:t>
      </w:r>
      <w:r>
        <w:rPr>
          <w:rFonts w:hint="eastAsia" w:ascii="仿宋_GB2312" w:hAnsi="仿宋_GB2312" w:eastAsia="仿宋_GB2312" w:cs="仿宋_GB2312"/>
          <w:color w:val="auto"/>
          <w:sz w:val="32"/>
          <w:szCs w:val="32"/>
          <w:u w:val="none"/>
          <w:lang w:eastAsia="zh-CN"/>
        </w:rPr>
        <w:t>的厨房与外界相通的门未能正常关闭，就餐区未设置有门</w:t>
      </w:r>
      <w:r>
        <w:rPr>
          <w:rFonts w:hint="eastAsia" w:ascii="仿宋_GB2312" w:hAnsi="仿宋_GB2312" w:eastAsia="仿宋_GB2312" w:cs="仿宋_GB2312"/>
          <w:color w:val="auto"/>
          <w:sz w:val="32"/>
          <w:szCs w:val="32"/>
          <w:u w:val="none"/>
          <w:lang w:val="en-US" w:eastAsia="zh-CN"/>
        </w:rPr>
        <w:t>的行为，不符合《食品安全国家标准 餐饮服务通用卫生规范（GB 31654-2021）》3.3.4.1“食品处理区的门、窗应闭合严密,采用不透水、坚固、不变形的材料制成,结构上应易于维护、清洁。应采取必要的措施,防止门窗玻璃破碎后对食品和餐用具造成污染。需经常冲洗场所的门,表面还应光滑、不易积垢。”、3.3.4.2“餐饮服务场所与外界直接相通的门、窗应采取有效措施(如安装空气幕、防蝇帘、防虫纱窗、防鼠板等),防止有害生物侵人。”的规定，违反了《中华人民共和国食品安全法》第三十三条第一款第二项的规定，属于</w:t>
      </w:r>
      <w:r>
        <w:rPr>
          <w:rFonts w:hint="eastAsia" w:ascii="仿宋_GB2312" w:hAnsi="仿宋_GB2312" w:eastAsia="仿宋_GB2312" w:cs="仿宋_GB2312"/>
          <w:color w:val="auto"/>
          <w:sz w:val="32"/>
          <w:szCs w:val="32"/>
          <w:u w:val="none"/>
          <w:lang w:eastAsia="zh-CN"/>
        </w:rPr>
        <w:t>食品经营</w:t>
      </w:r>
      <w:r>
        <w:rPr>
          <w:rFonts w:hint="eastAsia" w:ascii="仿宋_GB2312" w:hAnsi="仿宋_GB2312" w:eastAsia="仿宋_GB2312" w:cs="仿宋_GB2312"/>
          <w:color w:val="auto"/>
          <w:sz w:val="32"/>
          <w:szCs w:val="32"/>
          <w:u w:val="none"/>
          <w:lang w:val="en-US" w:eastAsia="zh-CN"/>
        </w:rPr>
        <w:t>过程不符合</w:t>
      </w:r>
      <w:r>
        <w:rPr>
          <w:rFonts w:hint="eastAsia" w:ascii="仿宋_GB2312" w:hAnsi="仿宋_GB2312" w:eastAsia="仿宋_GB2312" w:cs="仿宋_GB2312"/>
          <w:color w:val="auto"/>
          <w:sz w:val="32"/>
          <w:szCs w:val="32"/>
          <w:u w:val="none"/>
          <w:lang w:eastAsia="zh-CN"/>
        </w:rPr>
        <w:t>食品安全国家标准</w:t>
      </w:r>
      <w:r>
        <w:rPr>
          <w:rFonts w:hint="eastAsia" w:ascii="仿宋_GB2312" w:hAnsi="仿宋_GB2312" w:eastAsia="仿宋_GB2312" w:cs="仿宋_GB2312"/>
          <w:color w:val="auto"/>
          <w:sz w:val="32"/>
          <w:szCs w:val="32"/>
          <w:u w:val="none"/>
          <w:lang w:val="en-US" w:eastAsia="zh-CN"/>
        </w:rPr>
        <w:t xml:space="preserve">的行为。                                                    </w:t>
      </w:r>
    </w:p>
    <w:p w14:paraId="59885D8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当事人在案件调查过程中</w:t>
      </w:r>
      <w:r>
        <w:rPr>
          <w:rFonts w:hint="eastAsia" w:ascii="仿宋_GB2312" w:hAnsi="仿宋_GB2312" w:eastAsia="仿宋_GB2312" w:cs="仿宋_GB2312"/>
          <w:color w:val="auto"/>
          <w:sz w:val="32"/>
          <w:szCs w:val="32"/>
          <w:u w:val="none"/>
          <w:lang w:val="en-US" w:eastAsia="zh-CN"/>
        </w:rPr>
        <w:t>积极配合，主动提供证据材料，如实陈述违法事实，积极进行整改，停止从事餐饮服务经营活动，提交材料办理《食品经营许可证》，并于2025年8月26日取得《食品经营许可证》，主动减轻违法行为的危害后果，具有市场监管总局《关于规范市场监督管理行政处罚裁量权的指导意见》第十三条第一款第二项、第十四条第一款第二项规定的依法从轻或者减轻行政处罚的情形。依据《中华人民共和国行政处罚法》第三十二条第一款第一项及第五条、第六条的规定，我局决定对当事人减轻行政处罚。</w:t>
      </w:r>
    </w:p>
    <w:p w14:paraId="3A38E55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对于当事人</w:t>
      </w:r>
      <w:r>
        <w:rPr>
          <w:rFonts w:hint="eastAsia" w:ascii="仿宋_GB2312" w:hAnsi="仿宋_GB2312" w:eastAsia="仿宋_GB2312" w:cs="仿宋_GB2312"/>
          <w:color w:val="auto"/>
          <w:sz w:val="32"/>
          <w:szCs w:val="32"/>
          <w:u w:val="none"/>
          <w:lang w:eastAsia="zh-CN"/>
        </w:rPr>
        <w:t>未取得食品经营许可从事食品经营活动的行为，依据《中华人民共和国食品安全法》第一百二十二条第一款、《中华人民共和国行政处罚法》第二十八条第一款的规定，</w:t>
      </w:r>
      <w:r>
        <w:rPr>
          <w:rFonts w:hint="eastAsia" w:ascii="仿宋_GB2312" w:hAnsi="仿宋_GB2312" w:eastAsia="仿宋_GB2312" w:cs="仿宋_GB2312"/>
          <w:color w:val="auto"/>
          <w:sz w:val="32"/>
          <w:szCs w:val="32"/>
          <w:u w:val="none"/>
          <w:lang w:val="en-US" w:eastAsia="zh-CN"/>
        </w:rPr>
        <w:t>我局决定责令当事人立即改正该违法行为</w:t>
      </w:r>
      <w:r>
        <w:rPr>
          <w:rFonts w:hint="eastAsia" w:ascii="仿宋_GB2312" w:hAnsi="仿宋_GB2312" w:eastAsia="仿宋_GB2312" w:cs="仿宋_GB2312"/>
          <w:color w:val="auto"/>
          <w:sz w:val="32"/>
          <w:szCs w:val="32"/>
          <w:u w:val="none"/>
          <w:lang w:eastAsia="zh-CN"/>
        </w:rPr>
        <w:t>，并给予当事人没收违法所得</w:t>
      </w:r>
      <w:r>
        <w:rPr>
          <w:rFonts w:hint="eastAsia" w:ascii="仿宋_GB2312" w:hAnsi="仿宋_GB2312" w:eastAsia="仿宋_GB2312" w:cs="仿宋_GB2312"/>
          <w:color w:val="auto"/>
          <w:sz w:val="32"/>
          <w:szCs w:val="32"/>
          <w:u w:val="none"/>
          <w:lang w:val="en-US" w:eastAsia="zh-CN"/>
        </w:rPr>
        <w:t>9348元、</w:t>
      </w:r>
      <w:r>
        <w:rPr>
          <w:rFonts w:hint="eastAsia" w:ascii="仿宋_GB2312" w:hAnsi="仿宋_GB2312" w:eastAsia="仿宋_GB2312" w:cs="仿宋_GB2312"/>
          <w:color w:val="auto"/>
          <w:sz w:val="32"/>
          <w:szCs w:val="32"/>
          <w:u w:val="none"/>
          <w:lang w:eastAsia="zh-CN"/>
        </w:rPr>
        <w:t>罚款</w:t>
      </w:r>
      <w:r>
        <w:rPr>
          <w:rFonts w:hint="eastAsia" w:ascii="仿宋_GB2312" w:hAnsi="仿宋_GB2312" w:eastAsia="仿宋_GB2312" w:cs="仿宋_GB2312"/>
          <w:color w:val="auto"/>
          <w:sz w:val="32"/>
          <w:szCs w:val="32"/>
          <w:u w:val="none"/>
          <w:lang w:val="en-US" w:eastAsia="zh-CN"/>
        </w:rPr>
        <w:t>10000</w:t>
      </w:r>
      <w:r>
        <w:rPr>
          <w:rFonts w:hint="eastAsia" w:ascii="仿宋_GB2312" w:hAnsi="仿宋_GB2312" w:eastAsia="仿宋_GB2312" w:cs="仿宋_GB2312"/>
          <w:color w:val="auto"/>
          <w:sz w:val="32"/>
          <w:szCs w:val="32"/>
          <w:u w:val="none"/>
          <w:lang w:eastAsia="zh-CN"/>
        </w:rPr>
        <w:t>元的行政处罚。</w:t>
      </w:r>
    </w:p>
    <w:p w14:paraId="5B429AE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对于当事人</w:t>
      </w:r>
      <w:r>
        <w:rPr>
          <w:rFonts w:hint="eastAsia" w:ascii="仿宋_GB2312" w:hAnsi="仿宋_GB2312" w:eastAsia="仿宋_GB2312" w:cs="仿宋_GB2312"/>
          <w:color w:val="auto"/>
          <w:sz w:val="32"/>
          <w:szCs w:val="32"/>
          <w:u w:val="none"/>
          <w:lang w:val="en-US" w:eastAsia="zh-CN"/>
        </w:rPr>
        <w:t>进货时未查验许可证和相关证明文件行为</w:t>
      </w:r>
      <w:r>
        <w:rPr>
          <w:rFonts w:hint="eastAsia" w:ascii="仿宋_GB2312" w:hAnsi="仿宋_GB2312" w:eastAsia="仿宋_GB2312" w:cs="仿宋_GB2312"/>
          <w:color w:val="auto"/>
          <w:sz w:val="32"/>
          <w:szCs w:val="32"/>
          <w:u w:val="none"/>
          <w:lang w:eastAsia="zh-CN"/>
        </w:rPr>
        <w:t>的行为，</w:t>
      </w:r>
      <w:r>
        <w:rPr>
          <w:rFonts w:hint="eastAsia" w:ascii="仿宋_GB2312" w:hAnsi="仿宋_GB2312" w:eastAsia="仿宋_GB2312" w:cs="仿宋_GB2312"/>
          <w:color w:val="auto"/>
          <w:sz w:val="32"/>
          <w:szCs w:val="32"/>
          <w:u w:val="none"/>
          <w:lang w:val="en-US" w:eastAsia="zh-CN"/>
        </w:rPr>
        <w:t>依据</w:t>
      </w:r>
      <w:r>
        <w:rPr>
          <w:rFonts w:hint="eastAsia" w:ascii="仿宋_GB2312" w:hAnsi="仿宋_GB2312" w:eastAsia="仿宋_GB2312" w:cs="仿宋_GB2312"/>
          <w:color w:val="auto"/>
          <w:sz w:val="32"/>
          <w:szCs w:val="32"/>
          <w:u w:val="none"/>
          <w:lang w:eastAsia="zh-CN"/>
        </w:rPr>
        <w:t>《中华人民共和国食品安全法》第一百二十六条第一款第三项</w:t>
      </w:r>
      <w:r>
        <w:rPr>
          <w:rFonts w:hint="eastAsia" w:ascii="仿宋_GB2312" w:hAnsi="仿宋_GB2312" w:eastAsia="仿宋_GB2312" w:cs="仿宋_GB2312"/>
          <w:color w:val="auto"/>
          <w:sz w:val="32"/>
          <w:szCs w:val="32"/>
          <w:u w:val="none"/>
          <w:lang w:val="en-US" w:eastAsia="zh-CN"/>
        </w:rPr>
        <w:t>的规定，我局决定责令当事人立即改正该违法行为</w:t>
      </w:r>
      <w:r>
        <w:rPr>
          <w:rFonts w:hint="eastAsia" w:ascii="仿宋_GB2312" w:hAnsi="仿宋_GB2312" w:eastAsia="仿宋_GB2312" w:cs="仿宋_GB2312"/>
          <w:color w:val="auto"/>
          <w:sz w:val="32"/>
          <w:szCs w:val="32"/>
          <w:u w:val="none"/>
          <w:lang w:eastAsia="zh-CN"/>
        </w:rPr>
        <w:t>，并给予</w:t>
      </w:r>
      <w:r>
        <w:rPr>
          <w:rFonts w:hint="eastAsia" w:ascii="仿宋_GB2312" w:hAnsi="仿宋_GB2312" w:eastAsia="仿宋_GB2312" w:cs="仿宋_GB2312"/>
          <w:color w:val="auto"/>
          <w:sz w:val="32"/>
          <w:szCs w:val="32"/>
          <w:u w:val="none"/>
          <w:lang w:val="en-US" w:eastAsia="zh-CN"/>
        </w:rPr>
        <w:t>警告</w:t>
      </w:r>
      <w:r>
        <w:rPr>
          <w:rFonts w:hint="eastAsia" w:ascii="仿宋_GB2312" w:hAnsi="仿宋_GB2312" w:eastAsia="仿宋_GB2312" w:cs="仿宋_GB2312"/>
          <w:color w:val="auto"/>
          <w:sz w:val="32"/>
          <w:szCs w:val="32"/>
          <w:u w:val="none"/>
          <w:lang w:eastAsia="zh-CN"/>
        </w:rPr>
        <w:t>的行政处罚。</w:t>
      </w:r>
    </w:p>
    <w:p w14:paraId="7C88F1F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对于当事人</w:t>
      </w:r>
      <w:r>
        <w:rPr>
          <w:rFonts w:hint="eastAsia" w:ascii="仿宋_GB2312" w:hAnsi="仿宋_GB2312" w:eastAsia="仿宋_GB2312" w:cs="仿宋_GB2312"/>
          <w:color w:val="auto"/>
          <w:sz w:val="32"/>
          <w:szCs w:val="32"/>
          <w:u w:val="none"/>
          <w:lang w:eastAsia="zh-CN"/>
        </w:rPr>
        <w:t>食品经营</w:t>
      </w:r>
      <w:r>
        <w:rPr>
          <w:rFonts w:hint="eastAsia" w:ascii="仿宋_GB2312" w:hAnsi="仿宋_GB2312" w:eastAsia="仿宋_GB2312" w:cs="仿宋_GB2312"/>
          <w:color w:val="auto"/>
          <w:sz w:val="32"/>
          <w:szCs w:val="32"/>
          <w:u w:val="none"/>
          <w:lang w:val="en-US" w:eastAsia="zh-CN"/>
        </w:rPr>
        <w:t>过程不符合</w:t>
      </w:r>
      <w:r>
        <w:rPr>
          <w:rFonts w:hint="eastAsia" w:ascii="仿宋_GB2312" w:hAnsi="仿宋_GB2312" w:eastAsia="仿宋_GB2312" w:cs="仿宋_GB2312"/>
          <w:color w:val="auto"/>
          <w:sz w:val="32"/>
          <w:szCs w:val="32"/>
          <w:u w:val="none"/>
          <w:lang w:eastAsia="zh-CN"/>
        </w:rPr>
        <w:t>食品安全国家标准</w:t>
      </w:r>
      <w:r>
        <w:rPr>
          <w:rFonts w:hint="eastAsia" w:ascii="仿宋_GB2312" w:hAnsi="仿宋_GB2312" w:eastAsia="仿宋_GB2312" w:cs="仿宋_GB2312"/>
          <w:color w:val="auto"/>
          <w:sz w:val="32"/>
          <w:szCs w:val="32"/>
          <w:u w:val="none"/>
          <w:lang w:val="en-US" w:eastAsia="zh-CN"/>
        </w:rPr>
        <w:t>的行为，依据《中华人民共和国食品安全法实施条例》</w:t>
      </w:r>
      <w:r>
        <w:rPr>
          <w:rFonts w:hint="eastAsia" w:ascii="仿宋_GB2312" w:hAnsi="仿宋_GB2312" w:eastAsia="仿宋_GB2312" w:cs="仿宋_GB2312"/>
          <w:color w:val="auto"/>
          <w:sz w:val="32"/>
          <w:szCs w:val="32"/>
          <w:u w:val="none"/>
          <w:lang w:eastAsia="zh-CN"/>
        </w:rPr>
        <w:t>第七十条、《中华人民共和国食品安全法》第一百二十六条第一款第十三项的规定，</w:t>
      </w:r>
      <w:r>
        <w:rPr>
          <w:rFonts w:hint="eastAsia" w:ascii="仿宋_GB2312" w:hAnsi="仿宋_GB2312" w:eastAsia="仿宋_GB2312" w:cs="仿宋_GB2312"/>
          <w:color w:val="auto"/>
          <w:sz w:val="32"/>
          <w:szCs w:val="32"/>
          <w:u w:val="none"/>
          <w:lang w:val="en-US" w:eastAsia="zh-CN"/>
        </w:rPr>
        <w:t>我局决定责令当事人立即改正该违法行为</w:t>
      </w:r>
      <w:r>
        <w:rPr>
          <w:rFonts w:hint="eastAsia" w:ascii="仿宋_GB2312" w:hAnsi="仿宋_GB2312" w:eastAsia="仿宋_GB2312" w:cs="仿宋_GB2312"/>
          <w:color w:val="auto"/>
          <w:sz w:val="32"/>
          <w:szCs w:val="32"/>
          <w:u w:val="none"/>
          <w:lang w:eastAsia="zh-CN"/>
        </w:rPr>
        <w:t>，并给予</w:t>
      </w:r>
      <w:r>
        <w:rPr>
          <w:rFonts w:hint="eastAsia" w:ascii="仿宋_GB2312" w:hAnsi="仿宋_GB2312" w:eastAsia="仿宋_GB2312" w:cs="仿宋_GB2312"/>
          <w:color w:val="auto"/>
          <w:sz w:val="32"/>
          <w:szCs w:val="32"/>
          <w:u w:val="none"/>
          <w:lang w:val="en-US" w:eastAsia="zh-CN"/>
        </w:rPr>
        <w:t>警告</w:t>
      </w:r>
      <w:r>
        <w:rPr>
          <w:rFonts w:hint="eastAsia" w:ascii="仿宋_GB2312" w:hAnsi="仿宋_GB2312" w:eastAsia="仿宋_GB2312" w:cs="仿宋_GB2312"/>
          <w:color w:val="auto"/>
          <w:sz w:val="32"/>
          <w:szCs w:val="32"/>
          <w:u w:val="none"/>
          <w:lang w:eastAsia="zh-CN"/>
        </w:rPr>
        <w:t>的行政处罚。</w:t>
      </w:r>
    </w:p>
    <w:p w14:paraId="10358F3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综上，我局决定责令当事人立即改正上述违法行为，并给予以下行政处罚：</w:t>
      </w:r>
    </w:p>
    <w:p w14:paraId="00FF380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1.警告；</w:t>
      </w:r>
    </w:p>
    <w:p w14:paraId="7989CA0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2.没收违法所得9348元；</w:t>
      </w:r>
    </w:p>
    <w:p w14:paraId="06FB669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3.罚款10000元。</w:t>
      </w:r>
    </w:p>
    <w:p w14:paraId="4D9E6B7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上述罚没款合计19348元。</w:t>
      </w:r>
    </w:p>
    <w:p w14:paraId="6146D91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color w:val="auto"/>
        </w:rPr>
      </w:pPr>
      <w:r>
        <w:rPr>
          <w:rFonts w:hint="eastAsia" w:ascii="仿宋_GB2312" w:hAnsi="仿宋_GB2312" w:eastAsia="仿宋_GB2312" w:cs="仿宋_GB2312"/>
          <w:color w:val="auto"/>
          <w:kern w:val="0"/>
          <w:sz w:val="32"/>
          <w:szCs w:val="32"/>
          <w:u w:val="none"/>
          <w:lang w:val="en-US" w:eastAsia="zh-CN" w:bidi="ar"/>
        </w:rPr>
        <w:t>当事人应当自收到本行政处罚决定书之日起十五日内，</w:t>
      </w:r>
      <w:r>
        <w:rPr>
          <w:rFonts w:hint="eastAsia" w:ascii="仿宋_GB2312" w:hAnsi="仿宋_GB2312" w:eastAsia="仿宋_GB2312" w:cs="仿宋_GB2312"/>
          <w:color w:val="auto"/>
          <w:sz w:val="32"/>
          <w:szCs w:val="32"/>
        </w:rPr>
        <w:t>凭《广西壮族自治区非税收入电子缴款通知书》到中国建设银行缴纳</w:t>
      </w:r>
      <w:r>
        <w:rPr>
          <w:rFonts w:hint="eastAsia" w:ascii="仿宋_GB2312" w:hAnsi="仿宋_GB2312" w:eastAsia="仿宋_GB2312" w:cs="仿宋_GB2312"/>
          <w:color w:val="auto"/>
          <w:sz w:val="32"/>
          <w:szCs w:val="32"/>
          <w:lang w:eastAsia="zh-CN"/>
        </w:rPr>
        <w:t>上述款项</w:t>
      </w:r>
      <w:r>
        <w:rPr>
          <w:rFonts w:hint="eastAsia" w:ascii="仿宋_GB2312" w:hAnsi="仿宋_GB2312" w:eastAsia="仿宋_GB2312" w:cs="仿宋_GB2312"/>
          <w:color w:val="auto"/>
          <w:kern w:val="0"/>
          <w:sz w:val="32"/>
          <w:szCs w:val="32"/>
          <w:u w:val="none"/>
          <w:lang w:val="en-US" w:eastAsia="zh-CN" w:bidi="ar"/>
        </w:rPr>
        <w:t>。逾期不缴纳罚款的，依据《中华人民共和国行政处罚法》第七十二条的规定，我局将</w:t>
      </w:r>
      <w:r>
        <w:rPr>
          <w:rFonts w:hint="eastAsia" w:ascii="仿宋_GB2312" w:hAnsi="仿宋_GB2312" w:eastAsia="仿宋_GB2312" w:cs="仿宋_GB2312"/>
          <w:bCs/>
          <w:color w:val="auto"/>
          <w:sz w:val="32"/>
          <w:szCs w:val="32"/>
          <w:highlight w:val="none"/>
          <w:u w:val="none"/>
          <w:lang w:val="en-US" w:eastAsia="zh-CN"/>
        </w:rPr>
        <w:t>每日按罚款数额的百分之三加处罚款，并</w:t>
      </w:r>
      <w:r>
        <w:rPr>
          <w:rFonts w:hint="eastAsia" w:ascii="仿宋_GB2312" w:hAnsi="仿宋_GB2312" w:eastAsia="仿宋_GB2312" w:cs="仿宋_GB2312"/>
          <w:color w:val="auto"/>
          <w:kern w:val="0"/>
          <w:sz w:val="32"/>
          <w:szCs w:val="32"/>
          <w:u w:val="none"/>
          <w:lang w:val="en-US" w:eastAsia="zh-CN" w:bidi="ar"/>
        </w:rPr>
        <w:t>依法申请人民法院强制执行。</w:t>
      </w:r>
    </w:p>
    <w:p w14:paraId="741AAB5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当事人如不服本行政处罚决定，可以在接到本行政处罚决定书之日起六十日内向柳州市柳北区人民政府申请行政复议；也可以在六个月内依法向柳州市柳南区人民法院提起行政诉讼。</w:t>
      </w:r>
      <w:r>
        <w:rPr>
          <w:rFonts w:hint="eastAsia" w:ascii="仿宋_GB2312" w:hAnsi="仿宋_GB2312" w:eastAsia="仿宋_GB2312" w:cs="仿宋_GB2312"/>
          <w:color w:val="auto"/>
          <w:sz w:val="32"/>
          <w:szCs w:val="32"/>
          <w:u w:val="none"/>
          <w:lang w:val="en-US" w:eastAsia="zh-CN"/>
        </w:rPr>
        <w:t>申请行政复议或者提起行政诉讼期间，行政处罚不停止执行。</w:t>
      </w:r>
    </w:p>
    <w:p w14:paraId="10B634E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u w:val="none"/>
          <w:lang w:val="en-US" w:eastAsia="zh-CN"/>
        </w:rPr>
      </w:pPr>
    </w:p>
    <w:p w14:paraId="5ED9D3A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u w:val="none"/>
          <w:lang w:val="en-US" w:eastAsia="zh-CN"/>
        </w:rPr>
      </w:pPr>
    </w:p>
    <w:p w14:paraId="08ACB67C">
      <w:pPr>
        <w:keepNext w:val="0"/>
        <w:keepLines w:val="0"/>
        <w:pageBreakBefore w:val="0"/>
        <w:widowControl w:val="0"/>
        <w:kinsoku/>
        <w:wordWrap/>
        <w:overflowPunct/>
        <w:topLinePunct w:val="0"/>
        <w:autoSpaceDE/>
        <w:autoSpaceDN/>
        <w:bidi w:val="0"/>
        <w:adjustRightInd/>
        <w:snapToGrid/>
        <w:spacing w:line="500" w:lineRule="exact"/>
        <w:ind w:firstLine="3840" w:firstLineChars="1200"/>
        <w:jc w:val="right"/>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柳州市柳北区市场监督管理局</w:t>
      </w:r>
    </w:p>
    <w:p w14:paraId="08F8CDF2">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 xml:space="preserve">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 xml:space="preserve"> 202</w:t>
      </w: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lang w:eastAsia="zh-CN"/>
        </w:rPr>
        <w:t>年</w:t>
      </w:r>
      <w:r>
        <w:rPr>
          <w:rFonts w:hint="eastAsia" w:ascii="仿宋_GB2312" w:hAnsi="仿宋_GB2312" w:eastAsia="仿宋_GB2312" w:cs="仿宋_GB2312"/>
          <w:color w:val="auto"/>
          <w:sz w:val="32"/>
          <w:szCs w:val="32"/>
          <w:u w:val="none"/>
          <w:lang w:val="en-US" w:eastAsia="zh-CN"/>
        </w:rPr>
        <w:t>10</w:t>
      </w:r>
      <w:r>
        <w:rPr>
          <w:rFonts w:hint="eastAsia" w:ascii="仿宋_GB2312" w:hAnsi="仿宋_GB2312" w:eastAsia="仿宋_GB2312" w:cs="仿宋_GB2312"/>
          <w:color w:val="auto"/>
          <w:sz w:val="32"/>
          <w:szCs w:val="32"/>
          <w:u w:val="none"/>
          <w:lang w:eastAsia="zh-CN"/>
        </w:rPr>
        <w:t>月</w:t>
      </w:r>
      <w:r>
        <w:rPr>
          <w:rFonts w:hint="eastAsia" w:ascii="仿宋_GB2312" w:hAnsi="仿宋_GB2312" w:eastAsia="仿宋_GB2312" w:cs="仿宋_GB2312"/>
          <w:color w:val="auto"/>
          <w:sz w:val="32"/>
          <w:szCs w:val="32"/>
          <w:u w:val="none"/>
          <w:lang w:val="en-US" w:eastAsia="zh-CN"/>
        </w:rPr>
        <w:t>9</w:t>
      </w:r>
      <w:bookmarkStart w:id="4" w:name="_GoBack"/>
      <w:bookmarkEnd w:id="4"/>
      <w:r>
        <w:rPr>
          <w:rFonts w:hint="eastAsia" w:ascii="仿宋_GB2312" w:hAnsi="仿宋_GB2312" w:eastAsia="仿宋_GB2312" w:cs="仿宋_GB2312"/>
          <w:color w:val="auto"/>
          <w:sz w:val="32"/>
          <w:szCs w:val="32"/>
          <w:u w:val="none"/>
          <w:lang w:eastAsia="zh-CN"/>
        </w:rPr>
        <w:t>日</w:t>
      </w:r>
    </w:p>
    <w:p w14:paraId="01E5854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u w:val="none"/>
          <w:lang w:val="en-US" w:eastAsia="zh-CN"/>
        </w:rPr>
      </w:pPr>
    </w:p>
    <w:p w14:paraId="4E053EB8">
      <w:pPr>
        <w:pStyle w:val="2"/>
        <w:rPr>
          <w:rFonts w:hint="eastAsia" w:ascii="仿宋_GB2312" w:hAnsi="仿宋_GB2312" w:eastAsia="仿宋_GB2312" w:cs="仿宋_GB2312"/>
          <w:color w:val="auto"/>
          <w:sz w:val="32"/>
          <w:szCs w:val="32"/>
          <w:u w:val="none"/>
          <w:lang w:val="en-US" w:eastAsia="zh-CN"/>
        </w:rPr>
      </w:pPr>
    </w:p>
    <w:p w14:paraId="6DB0C258">
      <w:pPr>
        <w:pStyle w:val="2"/>
        <w:rPr>
          <w:rFonts w:hint="eastAsia" w:ascii="仿宋_GB2312" w:hAnsi="仿宋_GB2312" w:eastAsia="仿宋_GB2312" w:cs="仿宋_GB2312"/>
          <w:color w:val="auto"/>
          <w:sz w:val="32"/>
          <w:szCs w:val="32"/>
          <w:u w:val="none"/>
          <w:lang w:val="en-US" w:eastAsia="zh-CN"/>
        </w:rPr>
      </w:pPr>
    </w:p>
    <w:p w14:paraId="1879EA53">
      <w:pPr>
        <w:pStyle w:val="2"/>
        <w:rPr>
          <w:rFonts w:hint="eastAsia" w:ascii="仿宋_GB2312" w:hAnsi="仿宋_GB2312" w:eastAsia="仿宋_GB2312" w:cs="仿宋_GB2312"/>
          <w:color w:val="auto"/>
          <w:sz w:val="32"/>
          <w:szCs w:val="32"/>
          <w:u w:val="none"/>
          <w:lang w:val="en-US" w:eastAsia="zh-CN"/>
        </w:rPr>
      </w:pPr>
    </w:p>
    <w:p w14:paraId="5CBB88C3">
      <w:pPr>
        <w:pStyle w:val="2"/>
        <w:rPr>
          <w:rFonts w:hint="eastAsia" w:ascii="仿宋_GB2312" w:hAnsi="仿宋_GB2312" w:eastAsia="仿宋_GB2312" w:cs="仿宋_GB2312"/>
          <w:color w:val="auto"/>
          <w:sz w:val="32"/>
          <w:szCs w:val="32"/>
          <w:u w:val="none"/>
          <w:lang w:val="en-US" w:eastAsia="zh-CN"/>
        </w:rPr>
      </w:pPr>
    </w:p>
    <w:p w14:paraId="6AD3257E">
      <w:pPr>
        <w:pStyle w:val="2"/>
        <w:rPr>
          <w:rFonts w:hint="eastAsia" w:ascii="仿宋_GB2312" w:hAnsi="仿宋_GB2312" w:eastAsia="仿宋_GB2312" w:cs="仿宋_GB2312"/>
          <w:color w:val="auto"/>
          <w:sz w:val="32"/>
          <w:szCs w:val="32"/>
          <w:u w:val="none"/>
          <w:lang w:val="en-US" w:eastAsia="zh-CN"/>
        </w:rPr>
      </w:pPr>
    </w:p>
    <w:p w14:paraId="37C4B879">
      <w:pPr>
        <w:pStyle w:val="2"/>
        <w:rPr>
          <w:rFonts w:hint="eastAsia" w:ascii="仿宋_GB2312" w:hAnsi="仿宋_GB2312" w:eastAsia="仿宋_GB2312" w:cs="仿宋_GB2312"/>
          <w:color w:val="auto"/>
          <w:sz w:val="32"/>
          <w:szCs w:val="32"/>
          <w:u w:val="none"/>
          <w:lang w:val="en-US" w:eastAsia="zh-CN"/>
        </w:rPr>
      </w:pPr>
    </w:p>
    <w:p w14:paraId="6FEBF5DB">
      <w:pPr>
        <w:pStyle w:val="2"/>
        <w:rPr>
          <w:rFonts w:hint="eastAsia" w:ascii="仿宋_GB2312" w:hAnsi="仿宋_GB2312" w:eastAsia="仿宋_GB2312" w:cs="仿宋_GB2312"/>
          <w:color w:val="auto"/>
          <w:sz w:val="32"/>
          <w:szCs w:val="32"/>
          <w:u w:val="none"/>
          <w:lang w:val="en-US" w:eastAsia="zh-CN"/>
        </w:rPr>
      </w:pPr>
    </w:p>
    <w:p w14:paraId="1C45A510">
      <w:pPr>
        <w:pStyle w:val="2"/>
        <w:rPr>
          <w:rFonts w:hint="eastAsia" w:ascii="仿宋_GB2312" w:hAnsi="仿宋_GB2312" w:eastAsia="仿宋_GB2312" w:cs="仿宋_GB2312"/>
          <w:color w:val="auto"/>
          <w:sz w:val="32"/>
          <w:szCs w:val="32"/>
          <w:u w:val="none"/>
          <w:lang w:val="en-US" w:eastAsia="zh-CN"/>
        </w:rPr>
      </w:pPr>
    </w:p>
    <w:p w14:paraId="3270D33B">
      <w:pPr>
        <w:pStyle w:val="2"/>
        <w:rPr>
          <w:rFonts w:hint="eastAsia" w:ascii="仿宋_GB2312" w:hAnsi="仿宋_GB2312" w:eastAsia="仿宋_GB2312" w:cs="仿宋_GB2312"/>
          <w:color w:val="auto"/>
          <w:sz w:val="32"/>
          <w:szCs w:val="32"/>
          <w:u w:val="none"/>
          <w:lang w:val="en-US" w:eastAsia="zh-CN"/>
        </w:rPr>
      </w:pPr>
    </w:p>
    <w:p w14:paraId="40EA6D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u w:val="none"/>
          <w:lang w:val="en-US" w:eastAsia="zh-CN"/>
        </w:rPr>
      </w:pPr>
    </w:p>
    <w:p w14:paraId="00AC8F9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kern w:val="2"/>
          <w:sz w:val="32"/>
          <w:szCs w:val="32"/>
          <w:u w:val="none"/>
          <w:lang w:val="en-US" w:eastAsia="zh-CN" w:bidi="ar-SA"/>
        </w:rPr>
        <w:t>（市场监督管理部门将依法向社会公示本行政处罚决定信息）</w:t>
      </w:r>
    </w:p>
    <w:p w14:paraId="53B4DBC5">
      <w:pPr>
        <w:keepNext w:val="0"/>
        <w:keepLines w:val="0"/>
        <w:pageBreakBefore w:val="0"/>
        <w:widowControl w:val="0"/>
        <w:kinsoku/>
        <w:wordWrap/>
        <w:overflowPunct/>
        <w:topLinePunct w:val="0"/>
        <w:autoSpaceDE/>
        <w:autoSpaceDN/>
        <w:bidi w:val="0"/>
        <w:adjustRightInd/>
        <w:snapToGrid/>
        <w:spacing w:line="500" w:lineRule="exact"/>
        <w:textAlignment w:val="auto"/>
        <w:rPr>
          <w:color w:val="auto"/>
        </w:rPr>
      </w:pPr>
      <w:r>
        <w:rPr>
          <w:rFonts w:hint="eastAsia" w:ascii="仿宋_GB2312" w:hAnsi="仿宋_GB2312" w:eastAsia="仿宋_GB2312" w:cs="仿宋_GB2312"/>
          <w:color w:val="auto"/>
          <w:sz w:val="32"/>
          <w:u w:val="none"/>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75565</wp:posOffset>
                </wp:positionV>
                <wp:extent cx="5505450" cy="635"/>
                <wp:effectExtent l="0" t="0" r="0" b="0"/>
                <wp:wrapNone/>
                <wp:docPr id="2" name="直线 2"/>
                <wp:cNvGraphicFramePr/>
                <a:graphic xmlns:a="http://schemas.openxmlformats.org/drawingml/2006/main">
                  <a:graphicData uri="http://schemas.microsoft.com/office/word/2010/wordprocessingShape">
                    <wps:wsp>
                      <wps:cNvCnPr/>
                      <wps:spPr>
                        <a:xfrm>
                          <a:off x="0" y="0"/>
                          <a:ext cx="55054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1pt;margin-top:5.95pt;height:0.05pt;width:433.5pt;z-index:251659264;mso-width-relative:page;mso-height-relative:page;" filled="f" stroked="t" coordsize="21600,21600" o:gfxdata="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8A8otMAAAAH&#10;AQAADwAAAAAAAAABACAAAAAiAAAAZHJzL2Rvd25yZXYueG1sUEsBAhQAFAAAAAgAh07iQOlIh57o&#10;AQAA3QMAAA4AAAAAAAAAAQAgAAAAIgEAAGRycy9lMm9Eb2MueG1sUEsFBgAAAAAGAAYAWQEAAHwF&#10;A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32"/>
          <w:u w:val="none"/>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75565</wp:posOffset>
                </wp:positionV>
                <wp:extent cx="5505450" cy="635"/>
                <wp:effectExtent l="0" t="0" r="0" b="0"/>
                <wp:wrapNone/>
                <wp:docPr id="3" name="直线 3"/>
                <wp:cNvGraphicFramePr/>
                <a:graphic xmlns:a="http://schemas.openxmlformats.org/drawingml/2006/main">
                  <a:graphicData uri="http://schemas.microsoft.com/office/word/2010/wordprocessingShape">
                    <wps:wsp>
                      <wps:cNvCnPr/>
                      <wps:spPr>
                        <a:xfrm>
                          <a:off x="0" y="0"/>
                          <a:ext cx="55054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1pt;margin-top:5.95pt;height:0.05pt;width:433.5pt;z-index:251660288;mso-width-relative:page;mso-height-relative:page;" filled="f" stroked="t" coordsize="21600,21600" o:gfxdata="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8A8otMAAAAH&#10;AQAADwAAAAAAAAABACAAAAAiAAAAZHJzL2Rvd25yZXYueG1sUEsBAhQAFAAAAAgAh07iQKb+SrDo&#10;AQAA3QMAAA4AAAAAAAAAAQAgAAAAIgEAAGRycy9lMm9Eb2MueG1sUEsFBgAAAAAGAAYAWQEAAHwF&#10;A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32"/>
          <w:szCs w:val="32"/>
          <w:u w:val="none"/>
        </w:rPr>
        <w:t>本文书一式三份，一份送达，一份归档，一份办案机构留存。</w:t>
      </w:r>
    </w:p>
    <w:sectPr>
      <w:footerReference r:id="rId3" w:type="default"/>
      <w:pgSz w:w="11906" w:h="16838"/>
      <w:pgMar w:top="1383" w:right="1145" w:bottom="1327" w:left="142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ngal">
    <w:panose1 w:val="02040503050203030202"/>
    <w:charset w:val="00"/>
    <w:family w:val="roman"/>
    <w:pitch w:val="default"/>
    <w:sig w:usb0="00008003"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B0A5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440C84">
                          <w:pPr>
                            <w:pStyle w:val="5"/>
                            <w:rPr>
                              <w:rFonts w:hint="eastAsia" w:ascii="宋体" w:hAnsi="宋体" w:eastAsia="宋体" w:cs="宋体"/>
                              <w:sz w:val="18"/>
                              <w:szCs w:val="18"/>
                            </w:rPr>
                          </w:pPr>
                          <w:r>
                            <w:rPr>
                              <w:rFonts w:hint="eastAsia" w:ascii="宋体" w:hAnsi="宋体" w:eastAsia="宋体" w:cs="宋体"/>
                              <w:sz w:val="18"/>
                              <w:szCs w:val="18"/>
                            </w:rPr>
                            <w:t xml:space="preserve">第 </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1</w:t>
                          </w:r>
                          <w:r>
                            <w:rPr>
                              <w:rFonts w:hint="eastAsia" w:ascii="宋体" w:hAnsi="宋体" w:eastAsia="宋体" w:cs="宋体"/>
                              <w:sz w:val="18"/>
                              <w:szCs w:val="18"/>
                            </w:rPr>
                            <w:fldChar w:fldCharType="end"/>
                          </w:r>
                          <w:r>
                            <w:rPr>
                              <w:rFonts w:hint="eastAsia" w:ascii="宋体" w:hAnsi="宋体" w:eastAsia="宋体" w:cs="宋体"/>
                              <w:sz w:val="18"/>
                              <w:szCs w:val="18"/>
                            </w:rPr>
                            <w:t xml:space="preserve"> 页 共 </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NUMPAGES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2</w:t>
                          </w:r>
                          <w:r>
                            <w:rPr>
                              <w:rFonts w:hint="eastAsia" w:ascii="宋体" w:hAnsi="宋体" w:eastAsia="宋体" w:cs="宋体"/>
                              <w:sz w:val="18"/>
                              <w:szCs w:val="18"/>
                            </w:rPr>
                            <w:fldChar w:fldCharType="end"/>
                          </w:r>
                          <w:r>
                            <w:rPr>
                              <w:rFonts w:hint="eastAsia" w:ascii="宋体" w:hAnsi="宋体" w:eastAsia="宋体" w:cs="宋体"/>
                              <w:sz w:val="18"/>
                              <w:szCs w:val="1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440C84">
                    <w:pPr>
                      <w:pStyle w:val="5"/>
                      <w:rPr>
                        <w:rFonts w:hint="eastAsia" w:ascii="宋体" w:hAnsi="宋体" w:eastAsia="宋体" w:cs="宋体"/>
                        <w:sz w:val="18"/>
                        <w:szCs w:val="18"/>
                      </w:rPr>
                    </w:pPr>
                    <w:r>
                      <w:rPr>
                        <w:rFonts w:hint="eastAsia" w:ascii="宋体" w:hAnsi="宋体" w:eastAsia="宋体" w:cs="宋体"/>
                        <w:sz w:val="18"/>
                        <w:szCs w:val="18"/>
                      </w:rPr>
                      <w:t xml:space="preserve">第 </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1</w:t>
                    </w:r>
                    <w:r>
                      <w:rPr>
                        <w:rFonts w:hint="eastAsia" w:ascii="宋体" w:hAnsi="宋体" w:eastAsia="宋体" w:cs="宋体"/>
                        <w:sz w:val="18"/>
                        <w:szCs w:val="18"/>
                      </w:rPr>
                      <w:fldChar w:fldCharType="end"/>
                    </w:r>
                    <w:r>
                      <w:rPr>
                        <w:rFonts w:hint="eastAsia" w:ascii="宋体" w:hAnsi="宋体" w:eastAsia="宋体" w:cs="宋体"/>
                        <w:sz w:val="18"/>
                        <w:szCs w:val="18"/>
                      </w:rPr>
                      <w:t xml:space="preserve"> 页 共 </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NUMPAGES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2</w:t>
                    </w:r>
                    <w:r>
                      <w:rPr>
                        <w:rFonts w:hint="eastAsia" w:ascii="宋体" w:hAnsi="宋体" w:eastAsia="宋体" w:cs="宋体"/>
                        <w:sz w:val="18"/>
                        <w:szCs w:val="18"/>
                      </w:rPr>
                      <w:fldChar w:fldCharType="end"/>
                    </w:r>
                    <w:r>
                      <w:rPr>
                        <w:rFonts w:hint="eastAsia" w:ascii="宋体" w:hAnsi="宋体" w:eastAsia="宋体" w:cs="宋体"/>
                        <w:sz w:val="18"/>
                        <w:szCs w:val="1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wZDgxNWUyOTk5YWM2ZTAyZGQ4MGM1MzY4NjhhZGMifQ=="/>
    <w:docVar w:name="KSO_WPS_MARK_KEY" w:val="06c2c085-a1a0-4f9b-a97f-ae8f176655da"/>
  </w:docVars>
  <w:rsids>
    <w:rsidRoot w:val="5BA419F7"/>
    <w:rsid w:val="00193C35"/>
    <w:rsid w:val="00231274"/>
    <w:rsid w:val="0032134F"/>
    <w:rsid w:val="02254895"/>
    <w:rsid w:val="02B83402"/>
    <w:rsid w:val="03417B86"/>
    <w:rsid w:val="04CD463F"/>
    <w:rsid w:val="04FA4431"/>
    <w:rsid w:val="052C68B4"/>
    <w:rsid w:val="06BAE61F"/>
    <w:rsid w:val="071C7669"/>
    <w:rsid w:val="0776795A"/>
    <w:rsid w:val="08365B64"/>
    <w:rsid w:val="08F23066"/>
    <w:rsid w:val="09914A41"/>
    <w:rsid w:val="0AA44133"/>
    <w:rsid w:val="0B22091D"/>
    <w:rsid w:val="0CF71776"/>
    <w:rsid w:val="0D716177"/>
    <w:rsid w:val="0EE3661B"/>
    <w:rsid w:val="0FFFE86C"/>
    <w:rsid w:val="103E22C5"/>
    <w:rsid w:val="116F412D"/>
    <w:rsid w:val="12E81295"/>
    <w:rsid w:val="1350279A"/>
    <w:rsid w:val="141F4D55"/>
    <w:rsid w:val="14203063"/>
    <w:rsid w:val="143E1E38"/>
    <w:rsid w:val="144C3135"/>
    <w:rsid w:val="152E563E"/>
    <w:rsid w:val="15B93156"/>
    <w:rsid w:val="172B73EB"/>
    <w:rsid w:val="17B865FB"/>
    <w:rsid w:val="18325353"/>
    <w:rsid w:val="18B229B2"/>
    <w:rsid w:val="19AC22AE"/>
    <w:rsid w:val="19FE4517"/>
    <w:rsid w:val="1B1C0628"/>
    <w:rsid w:val="1B59326E"/>
    <w:rsid w:val="1D0A000F"/>
    <w:rsid w:val="1DBE5F5B"/>
    <w:rsid w:val="1E2525B5"/>
    <w:rsid w:val="1EFA7EE1"/>
    <w:rsid w:val="1F2B5D07"/>
    <w:rsid w:val="1FB4516B"/>
    <w:rsid w:val="1FD31F15"/>
    <w:rsid w:val="24626694"/>
    <w:rsid w:val="24E75A37"/>
    <w:rsid w:val="258D6CE0"/>
    <w:rsid w:val="2909285F"/>
    <w:rsid w:val="2A536F2E"/>
    <w:rsid w:val="2A9F8649"/>
    <w:rsid w:val="2B1B3EFC"/>
    <w:rsid w:val="2CEA3815"/>
    <w:rsid w:val="2DE10173"/>
    <w:rsid w:val="2EA30183"/>
    <w:rsid w:val="2F327E79"/>
    <w:rsid w:val="2F7CE1EF"/>
    <w:rsid w:val="30A440E4"/>
    <w:rsid w:val="30DB5683"/>
    <w:rsid w:val="31FF6116"/>
    <w:rsid w:val="3434288C"/>
    <w:rsid w:val="3585615B"/>
    <w:rsid w:val="368E5656"/>
    <w:rsid w:val="377FBB27"/>
    <w:rsid w:val="37F16547"/>
    <w:rsid w:val="38B63DA7"/>
    <w:rsid w:val="3A4E178D"/>
    <w:rsid w:val="3ACA67D6"/>
    <w:rsid w:val="3BF66C71"/>
    <w:rsid w:val="3BF97ECA"/>
    <w:rsid w:val="3C2965F0"/>
    <w:rsid w:val="3F2604DF"/>
    <w:rsid w:val="3F6783E4"/>
    <w:rsid w:val="3FFF82D4"/>
    <w:rsid w:val="40154771"/>
    <w:rsid w:val="402E7C06"/>
    <w:rsid w:val="40FE5F8F"/>
    <w:rsid w:val="425049CE"/>
    <w:rsid w:val="43B75D8E"/>
    <w:rsid w:val="45F0744B"/>
    <w:rsid w:val="48C10000"/>
    <w:rsid w:val="49EB6D57"/>
    <w:rsid w:val="4AE96ACE"/>
    <w:rsid w:val="4B0A02C2"/>
    <w:rsid w:val="4BBE3774"/>
    <w:rsid w:val="4C02380F"/>
    <w:rsid w:val="4CB571EA"/>
    <w:rsid w:val="4CC8271B"/>
    <w:rsid w:val="505D3842"/>
    <w:rsid w:val="511438B3"/>
    <w:rsid w:val="515F5CD1"/>
    <w:rsid w:val="53F75C3C"/>
    <w:rsid w:val="54436F03"/>
    <w:rsid w:val="552A59CF"/>
    <w:rsid w:val="557C414F"/>
    <w:rsid w:val="56490B1E"/>
    <w:rsid w:val="57503162"/>
    <w:rsid w:val="58025EF8"/>
    <w:rsid w:val="58702637"/>
    <w:rsid w:val="591F0542"/>
    <w:rsid w:val="5988163A"/>
    <w:rsid w:val="59F43024"/>
    <w:rsid w:val="5AB16262"/>
    <w:rsid w:val="5BA419F7"/>
    <w:rsid w:val="5BF91583"/>
    <w:rsid w:val="5BFB2E57"/>
    <w:rsid w:val="5D0A5B35"/>
    <w:rsid w:val="5DD7483B"/>
    <w:rsid w:val="5E5FAB03"/>
    <w:rsid w:val="5E863E6B"/>
    <w:rsid w:val="5F0E1A83"/>
    <w:rsid w:val="5F8324CC"/>
    <w:rsid w:val="5F9FEDD5"/>
    <w:rsid w:val="5FBEF003"/>
    <w:rsid w:val="5FE33914"/>
    <w:rsid w:val="5FFA4D85"/>
    <w:rsid w:val="602422E6"/>
    <w:rsid w:val="61215C6A"/>
    <w:rsid w:val="612E7E8C"/>
    <w:rsid w:val="64E43803"/>
    <w:rsid w:val="6839418E"/>
    <w:rsid w:val="69075B51"/>
    <w:rsid w:val="69CB210E"/>
    <w:rsid w:val="6AD7030F"/>
    <w:rsid w:val="6AF06246"/>
    <w:rsid w:val="6BCC1BB9"/>
    <w:rsid w:val="6CD35796"/>
    <w:rsid w:val="6D923254"/>
    <w:rsid w:val="6DA24A71"/>
    <w:rsid w:val="6E04767D"/>
    <w:rsid w:val="6E6950E9"/>
    <w:rsid w:val="6F732ABB"/>
    <w:rsid w:val="6FF58B64"/>
    <w:rsid w:val="6FF8F863"/>
    <w:rsid w:val="70CF02CA"/>
    <w:rsid w:val="71013020"/>
    <w:rsid w:val="71155816"/>
    <w:rsid w:val="7175671A"/>
    <w:rsid w:val="7376089F"/>
    <w:rsid w:val="73A051E2"/>
    <w:rsid w:val="75B2DA43"/>
    <w:rsid w:val="75BD90DB"/>
    <w:rsid w:val="75E83B00"/>
    <w:rsid w:val="768F00D0"/>
    <w:rsid w:val="7776200D"/>
    <w:rsid w:val="77DF8BD4"/>
    <w:rsid w:val="77EFD5CC"/>
    <w:rsid w:val="77FFADAC"/>
    <w:rsid w:val="7874060E"/>
    <w:rsid w:val="79DF3B04"/>
    <w:rsid w:val="7AC8587C"/>
    <w:rsid w:val="7BFD6076"/>
    <w:rsid w:val="7C8E43D6"/>
    <w:rsid w:val="7DA813EB"/>
    <w:rsid w:val="7DFF108F"/>
    <w:rsid w:val="7E6C6CF7"/>
    <w:rsid w:val="7EED8AE6"/>
    <w:rsid w:val="91BF8AB9"/>
    <w:rsid w:val="9FF1B21D"/>
    <w:rsid w:val="B7BFD803"/>
    <w:rsid w:val="BD5EB179"/>
    <w:rsid w:val="BD7F788E"/>
    <w:rsid w:val="DEFF1EB3"/>
    <w:rsid w:val="DF3F4C88"/>
    <w:rsid w:val="DF7A9960"/>
    <w:rsid w:val="DFBF15D5"/>
    <w:rsid w:val="DFD70EC8"/>
    <w:rsid w:val="DFFE6C63"/>
    <w:rsid w:val="E53DE605"/>
    <w:rsid w:val="ECC7B000"/>
    <w:rsid w:val="F0ED2927"/>
    <w:rsid w:val="F3EF5848"/>
    <w:rsid w:val="F5A28C7E"/>
    <w:rsid w:val="F9BF6AE4"/>
    <w:rsid w:val="FB57F652"/>
    <w:rsid w:val="FBBF88F6"/>
    <w:rsid w:val="FBFEBC90"/>
    <w:rsid w:val="FD7BEF22"/>
    <w:rsid w:val="FD8BB826"/>
    <w:rsid w:val="FD9199D6"/>
    <w:rsid w:val="FDAC17BA"/>
    <w:rsid w:val="FDDF4064"/>
    <w:rsid w:val="FDF46C9E"/>
    <w:rsid w:val="FEDEBCAC"/>
    <w:rsid w:val="FF7F62AA"/>
    <w:rsid w:val="FFDBA3A8"/>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2134</Words>
  <Characters>2245</Characters>
  <Lines>0</Lines>
  <Paragraphs>0</Paragraphs>
  <TotalTime>229</TotalTime>
  <ScaleCrop>false</ScaleCrop>
  <LinksUpToDate>false</LinksUpToDate>
  <CharactersWithSpaces>2489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2021-08-01T18:04:00Z</dcterms:created>
  <dc:creator>胖林宝宝噜啦噜～</dc:creator>
  <cp:lastModifiedBy>河谷镇</cp:lastModifiedBy>
  <dcterms:modified xsi:type="dcterms:W3CDTF">2025-10-15T08:02:38Z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1B298383ADC14209A9D939E1D944AAE1_13</vt:lpwstr>
  </property>
  <property fmtid="{D5CDD505-2E9C-101B-9397-08002B2CF9AE}" pid="4" name="KSOTemplateDocerSaveRecord">
    <vt:lpwstr>eyJoZGlkIjoiNjljYzBiNmJkNjNmYjA3MDkwNzQ4ZTM5NDc1MTY5NDgiLCJ1c2VySWQiOiI0OTg3NTAzNTcifQ==</vt:lpwstr>
  </property>
</Properties>
</file>