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8D845">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58A6010B">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6CBD0F7F">
      <w:pPr>
        <w:keepLines w:val="0"/>
        <w:pageBreakBefore w:val="0"/>
        <w:widowControl/>
        <w:kinsoku/>
        <w:wordWrap/>
        <w:overflowPunct/>
        <w:topLinePunct w:val="0"/>
        <w:bidi w:val="0"/>
        <w:snapToGrid w:val="0"/>
        <w:spacing w:line="520" w:lineRule="exact"/>
        <w:ind w:right="55"/>
        <w:jc w:val="center"/>
        <w:textAlignment w:val="auto"/>
        <w:outlineLvl w:val="1"/>
        <w:rPr>
          <w:rFonts w:hint="eastAsia" w:ascii="Times New Roman" w:hAnsi="仿宋_GB2312" w:eastAsia="仿宋_GB2312" w:cs="仿宋_GB2312"/>
          <w:bCs/>
          <w:color w:val="auto"/>
          <w:sz w:val="32"/>
          <w:szCs w:val="32"/>
        </w:rPr>
      </w:pPr>
      <w:bookmarkStart w:id="0" w:name="tAj_wh"/>
      <w:r>
        <w:rPr>
          <w:rFonts w:hint="eastAsia" w:ascii="Times New Roman" w:hAnsi="Times New Roman" w:eastAsia="仿宋_GB2312" w:cs="Mongolian Baiti"/>
          <w:color w:val="auto"/>
          <w:sz w:val="32"/>
        </w:rPr>
        <w:t>柳北市监</w:t>
      </w:r>
      <w:r>
        <w:rPr>
          <w:rFonts w:hint="eastAsia" w:ascii="Times New Roman" w:hAnsi="Times New Roman" w:eastAsia="仿宋_GB2312" w:cs="Mongolian Baiti"/>
          <w:color w:val="auto"/>
          <w:sz w:val="32"/>
          <w:lang w:eastAsia="zh-CN"/>
        </w:rPr>
        <w:t>处</w:t>
      </w:r>
      <w:r>
        <w:rPr>
          <w:rFonts w:hint="eastAsia" w:ascii="Times New Roman" w:hAnsi="Times New Roman" w:eastAsia="仿宋_GB2312" w:cs="Mongolian Baiti"/>
          <w:color w:val="auto"/>
          <w:sz w:val="32"/>
        </w:rPr>
        <w:t>罚〔202</w:t>
      </w:r>
      <w:r>
        <w:rPr>
          <w:rFonts w:hint="eastAsia" w:ascii="Times New Roman" w:hAnsi="Times New Roman" w:eastAsia="仿宋_GB2312" w:cs="Mongolian Baiti"/>
          <w:color w:val="auto"/>
          <w:sz w:val="32"/>
          <w:lang w:val="en-US" w:eastAsia="zh-CN"/>
        </w:rPr>
        <w:t>5</w:t>
      </w:r>
      <w:r>
        <w:rPr>
          <w:rFonts w:hint="eastAsia" w:ascii="Times New Roman" w:hAnsi="Times New Roman" w:eastAsia="仿宋_GB2312" w:cs="Mongolian Baiti"/>
          <w:color w:val="auto"/>
          <w:sz w:val="32"/>
        </w:rPr>
        <w:t>〕</w:t>
      </w:r>
      <w:r>
        <w:rPr>
          <w:rFonts w:hint="eastAsia" w:ascii="Times New Roman" w:hAnsi="Times New Roman" w:eastAsia="仿宋_GB2312" w:cs="Mongolian Baiti"/>
          <w:color w:val="auto"/>
          <w:sz w:val="32"/>
          <w:lang w:val="en-US" w:eastAsia="zh-CN"/>
        </w:rPr>
        <w:t>138</w:t>
      </w:r>
      <w:r>
        <w:rPr>
          <w:rFonts w:hint="eastAsia" w:ascii="Times New Roman" w:hAnsi="Times New Roman" w:eastAsia="仿宋_GB2312" w:cs="Mongolian Baiti"/>
          <w:color w:val="auto"/>
          <w:sz w:val="32"/>
        </w:rPr>
        <w:t>号</w:t>
      </w:r>
      <w:bookmarkEnd w:id="0"/>
    </w:p>
    <w:p w14:paraId="0D979CD0">
      <w:pPr>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2164D972">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bookmarkStart w:id="1" w:name="OLE_LINK4"/>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bCs/>
          <w:color w:val="auto"/>
          <w:sz w:val="32"/>
          <w:szCs w:val="32"/>
          <w:u w:val="none"/>
          <w:lang w:val="en-US" w:eastAsia="zh-CN"/>
        </w:rPr>
        <w:t>盘莲</w:t>
      </w:r>
      <w:r>
        <w:rPr>
          <w:rFonts w:hint="eastAsia" w:ascii="仿宋_GB2312" w:hAnsi="仿宋_GB2312" w:eastAsia="仿宋_GB2312" w:cs="仿宋_GB2312"/>
          <w:color w:val="auto"/>
          <w:sz w:val="32"/>
          <w:szCs w:val="32"/>
          <w:u w:val="none"/>
          <w:lang w:val="en-US" w:eastAsia="zh-CN"/>
        </w:rPr>
        <w:t xml:space="preserve">        </w:t>
      </w:r>
    </w:p>
    <w:p w14:paraId="05648C8D">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2" w:name="CALCULATE—DSR—tAjDsrs_cZtzgzzmc"/>
      <w:r>
        <w:rPr>
          <w:rFonts w:hint="eastAsia" w:ascii="仿宋_GB2312" w:hAnsi="仿宋_GB2312" w:eastAsia="仿宋_GB2312" w:cs="仿宋_GB2312"/>
          <w:color w:val="auto"/>
          <w:sz w:val="32"/>
          <w:szCs w:val="32"/>
          <w:u w:val="none"/>
          <w:lang w:val="en-US" w:eastAsia="zh-CN"/>
        </w:rPr>
        <w:t>营业执照</w:t>
      </w:r>
      <w:bookmarkEnd w:id="2"/>
      <w:r>
        <w:rPr>
          <w:rFonts w:hint="eastAsia" w:ascii="仿宋_GB2312" w:hAnsi="仿宋_GB2312" w:eastAsia="仿宋_GB2312" w:cs="仿宋_GB2312"/>
          <w:color w:val="auto"/>
          <w:sz w:val="32"/>
          <w:szCs w:val="32"/>
          <w:u w:val="none"/>
          <w:lang w:val="en-US" w:eastAsia="zh-CN"/>
        </w:rPr>
        <w:t xml:space="preserve">                                  </w:t>
      </w:r>
    </w:p>
    <w:p w14:paraId="03B49D86">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统一社会信用代码：</w:t>
      </w:r>
      <w:r>
        <w:rPr>
          <w:rFonts w:hint="eastAsia" w:ascii="仿宋_GB2312" w:hAnsi="仿宋_GB2312" w:eastAsia="仿宋_GB2312" w:cs="仿宋_GB2312"/>
          <w:bCs/>
          <w:color w:val="auto"/>
          <w:sz w:val="32"/>
          <w:szCs w:val="32"/>
          <w:u w:val="none"/>
          <w:lang w:val="en-US" w:eastAsia="zh-CN"/>
        </w:rPr>
        <w:t>92450205MAC2EEFD7Y</w:t>
      </w:r>
      <w:r>
        <w:rPr>
          <w:rFonts w:hint="eastAsia" w:ascii="仿宋_GB2312" w:hAnsi="仿宋_GB2312" w:eastAsia="仿宋_GB2312" w:cs="仿宋_GB2312"/>
          <w:color w:val="auto"/>
          <w:sz w:val="32"/>
          <w:szCs w:val="32"/>
          <w:u w:val="none"/>
          <w:lang w:val="en-US" w:eastAsia="zh-CN"/>
        </w:rPr>
        <w:t xml:space="preserve">                                </w:t>
      </w:r>
    </w:p>
    <w:p w14:paraId="27B57C76">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经营场所：柳州市柳北区胜利路4号之一通建中天城农贸市场1-1内1-36号                                                      </w:t>
      </w:r>
    </w:p>
    <w:p w14:paraId="46B8E790">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 xml:space="preserve">                        </w:t>
      </w:r>
    </w:p>
    <w:p w14:paraId="000E22B8">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4B262597">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bCs/>
          <w:color w:val="auto"/>
          <w:sz w:val="32"/>
          <w:szCs w:val="32"/>
          <w:u w:val="none"/>
          <w:lang w:eastAsia="zh-CN"/>
        </w:rPr>
      </w:pPr>
      <w:bookmarkStart w:id="3" w:name="OLE_LINK5"/>
      <w:bookmarkStart w:id="4" w:name="OLE_LINK19"/>
      <w:bookmarkStart w:id="5" w:name="OLE_LINK8"/>
      <w:r>
        <w:rPr>
          <w:rFonts w:hint="eastAsia" w:ascii="仿宋_GB2312" w:hAnsi="仿宋_GB2312" w:eastAsia="仿宋_GB2312" w:cs="仿宋_GB2312"/>
          <w:bCs/>
          <w:color w:val="auto"/>
          <w:sz w:val="32"/>
          <w:szCs w:val="32"/>
          <w:u w:val="none"/>
          <w:lang w:val="en-US" w:eastAsia="zh-CN"/>
        </w:rPr>
        <w:t>广西民生中检联检测有限公司</w:t>
      </w:r>
      <w:bookmarkEnd w:id="3"/>
      <w:r>
        <w:rPr>
          <w:rFonts w:hint="eastAsia" w:ascii="仿宋_GB2312" w:hAnsi="仿宋_GB2312" w:eastAsia="仿宋_GB2312" w:cs="仿宋_GB2312"/>
          <w:bCs/>
          <w:color w:val="auto"/>
          <w:sz w:val="32"/>
          <w:szCs w:val="32"/>
          <w:u w:val="none"/>
          <w:lang w:val="en-US" w:eastAsia="zh-CN"/>
        </w:rPr>
        <w:t>于2025年7月1日对当事人当天购进并销售的鹰嘴桃抽样3.02kg进行送检。2025年7月30日，我局收到广西民生中检联检测有限公司出具的《检验报告》（</w:t>
      </w:r>
      <w:bookmarkStart w:id="6" w:name="OLE_LINK2"/>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bCs/>
          <w:color w:val="auto"/>
          <w:sz w:val="32"/>
          <w:szCs w:val="32"/>
          <w:u w:val="none"/>
          <w:lang w:val="en-US" w:eastAsia="zh-CN"/>
        </w:rPr>
        <w:t>:</w:t>
      </w:r>
      <w:bookmarkEnd w:id="6"/>
      <w:r>
        <w:rPr>
          <w:rFonts w:hint="eastAsia" w:ascii="仿宋_GB2312" w:hAnsi="仿宋_GB2312" w:eastAsia="仿宋_GB2312" w:cs="仿宋_GB2312"/>
          <w:bCs/>
          <w:color w:val="auto"/>
          <w:sz w:val="32"/>
          <w:szCs w:val="32"/>
          <w:u w:val="none"/>
          <w:lang w:val="en-US" w:eastAsia="zh-CN"/>
        </w:rPr>
        <w:t>BFSQF070041035C）,检验结论为不合格。我局执法人员于2025年8月6日向当事人送达上述《检验报告》及《食品安全抽样检验结果通知书》，并对当事</w:t>
      </w:r>
      <w:r>
        <w:rPr>
          <w:rFonts w:hint="eastAsia" w:ascii="仿宋_GB2312" w:hAnsi="仿宋_GB2312" w:eastAsia="仿宋_GB2312" w:cs="仿宋_GB2312"/>
          <w:color w:val="auto"/>
          <w:sz w:val="32"/>
          <w:szCs w:val="32"/>
          <w:lang w:val="en-US" w:eastAsia="zh-CN"/>
        </w:rPr>
        <w:t>人经营场所进行现场检查，经检查当事人上述检验不合格批次的鹰嘴桃已无在售及库存。当事人在法定</w:t>
      </w:r>
      <w:r>
        <w:rPr>
          <w:rFonts w:hint="eastAsia" w:ascii="仿宋_GB2312" w:hAnsi="仿宋_GB2312" w:eastAsia="仿宋_GB2312" w:cs="仿宋_GB2312"/>
          <w:color w:val="auto"/>
          <w:sz w:val="32"/>
          <w:szCs w:val="32"/>
          <w:u w:val="none"/>
          <w:lang w:eastAsia="zh-CN"/>
        </w:rPr>
        <w:t>期限内</w:t>
      </w:r>
      <w:r>
        <w:rPr>
          <w:rFonts w:hint="eastAsia" w:ascii="仿宋_GB2312" w:hAnsi="仿宋_GB2312" w:eastAsia="仿宋_GB2312" w:cs="仿宋_GB2312"/>
          <w:color w:val="auto"/>
          <w:sz w:val="32"/>
          <w:szCs w:val="32"/>
          <w:u w:val="none"/>
        </w:rPr>
        <w:t>未提出复检申请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7</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30</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对当事人上述行为进行立案调查</w:t>
      </w:r>
      <w:r>
        <w:rPr>
          <w:rFonts w:hint="eastAsia" w:ascii="仿宋_GB2312" w:hAnsi="仿宋_GB2312" w:eastAsia="仿宋_GB2312" w:cs="仿宋_GB2312"/>
          <w:bCs/>
          <w:color w:val="auto"/>
          <w:sz w:val="32"/>
          <w:szCs w:val="32"/>
          <w:u w:val="none"/>
        </w:rPr>
        <w:t>。</w:t>
      </w:r>
    </w:p>
    <w:bookmarkEnd w:id="4"/>
    <w:p w14:paraId="49179AF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outlineLvl w:val="9"/>
        <w:rPr>
          <w:rFonts w:hint="eastAsia" w:ascii="仿宋_GB2312" w:hAnsi="仿宋_GB2312" w:eastAsia="仿宋_GB2312" w:cs="仿宋_GB2312"/>
          <w:color w:val="auto"/>
          <w:sz w:val="32"/>
          <w:szCs w:val="32"/>
          <w:u w:val="none"/>
          <w:lang w:val="en-US" w:eastAsia="zh-CN"/>
        </w:rPr>
      </w:pPr>
      <w:bookmarkStart w:id="7" w:name="OLE_LINK7"/>
      <w:r>
        <w:rPr>
          <w:rFonts w:hint="eastAsia" w:ascii="仿宋_GB2312" w:hAnsi="仿宋_GB2312" w:eastAsia="仿宋_GB2312" w:cs="仿宋_GB2312"/>
          <w:color w:val="auto"/>
          <w:sz w:val="32"/>
          <w:szCs w:val="32"/>
          <w:u w:val="none"/>
          <w:lang w:val="en-US" w:eastAsia="zh-CN"/>
        </w:rPr>
        <w:t>经查实，当事人于2025年7月1日购进9kg鹰嘴桃用于销售，进货价格是*元/kg，销售价格是16元/kg，其中3.02kg销售给广西民生中检联检测有限公司工作人员抽样送检，损耗4kg，剩余的在市场内售完。上述批次鹰嘴桃经广西民生中检联检测有限公司抽样检验，检验结论：经抽样检验，氯氟氰菊酯和高效氯氟氰菊酯项目不符合GB 2763-2021《食品安全国家标准 食品中农药最大残留限量》要求，检验结论为不合格。上述鹰嘴桃货值金额共计144元，营业性收入共计80元。</w:t>
      </w:r>
    </w:p>
    <w:bookmarkEnd w:id="7"/>
    <w:p w14:paraId="1B190F01">
      <w:pPr>
        <w:spacing w:line="52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在采购</w:t>
      </w:r>
      <w:r>
        <w:rPr>
          <w:rFonts w:hint="eastAsia" w:ascii="仿宋_GB2312" w:hAnsi="仿宋_GB2312" w:eastAsia="仿宋_GB2312" w:cs="仿宋_GB2312"/>
          <w:bCs/>
          <w:color w:val="auto"/>
          <w:sz w:val="32"/>
          <w:szCs w:val="32"/>
          <w:u w:val="none"/>
          <w:lang w:val="en-US" w:eastAsia="zh-CN"/>
        </w:rPr>
        <w:t>未查验供货商的资质及食品合格证明文件，</w:t>
      </w:r>
      <w:bookmarkStart w:id="8" w:name="OLE_LINK3"/>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w:t>
      </w:r>
      <w:bookmarkEnd w:id="8"/>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rPr>
        <w:t>。</w:t>
      </w:r>
    </w:p>
    <w:p w14:paraId="7C752167">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rPr>
        <w:t>上述事实，主要有以下证据证明：</w:t>
      </w:r>
    </w:p>
    <w:p w14:paraId="332CD1EA">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w:t>
      </w:r>
      <w:bookmarkStart w:id="9" w:name="OLE_LINK22"/>
      <w:r>
        <w:rPr>
          <w:rFonts w:hint="eastAsia" w:ascii="仿宋_GB2312" w:hAnsi="仿宋_GB2312" w:eastAsia="仿宋_GB2312" w:cs="仿宋_GB2312"/>
          <w:bCs/>
          <w:color w:val="auto"/>
          <w:sz w:val="32"/>
          <w:szCs w:val="32"/>
          <w:u w:val="none"/>
          <w:lang w:eastAsia="zh-CN"/>
        </w:rPr>
        <w:t>当事人的</w:t>
      </w:r>
      <w:r>
        <w:rPr>
          <w:rFonts w:hint="eastAsia" w:ascii="仿宋_GB2312" w:hAnsi="仿宋_GB2312" w:eastAsia="仿宋_GB2312" w:cs="仿宋_GB2312"/>
          <w:color w:val="auto"/>
          <w:sz w:val="32"/>
          <w:szCs w:val="32"/>
          <w:u w:val="none"/>
        </w:rPr>
        <w:t>《营业执照》</w:t>
      </w:r>
      <w:r>
        <w:rPr>
          <w:rFonts w:hint="eastAsia" w:ascii="仿宋_GB2312" w:hAnsi="仿宋_GB2312" w:eastAsia="仿宋_GB2312" w:cs="仿宋_GB2312"/>
          <w:color w:val="auto"/>
          <w:sz w:val="32"/>
          <w:szCs w:val="32"/>
          <w:u w:val="none"/>
          <w:lang w:eastAsia="zh-CN"/>
        </w:rPr>
        <w:t>照片</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经营者盘莲身份证照片复印件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w:t>
      </w:r>
      <w:bookmarkEnd w:id="9"/>
      <w:r>
        <w:rPr>
          <w:rFonts w:hint="eastAsia" w:ascii="仿宋_GB2312" w:hAnsi="仿宋_GB2312" w:eastAsia="仿宋_GB2312" w:cs="仿宋_GB2312"/>
          <w:color w:val="auto"/>
          <w:sz w:val="32"/>
          <w:szCs w:val="32"/>
          <w:u w:val="none"/>
          <w:lang w:eastAsia="zh-CN"/>
        </w:rPr>
        <w:t>，</w:t>
      </w:r>
      <w:bookmarkStart w:id="10" w:name="OLE_LINK23"/>
      <w:r>
        <w:rPr>
          <w:rFonts w:hint="eastAsia" w:ascii="仿宋_GB2312" w:hAnsi="仿宋_GB2312" w:eastAsia="仿宋_GB2312" w:cs="仿宋_GB2312"/>
          <w:color w:val="auto"/>
          <w:sz w:val="32"/>
          <w:szCs w:val="32"/>
          <w:u w:val="none"/>
        </w:rPr>
        <w:t>证明当事人的主体资格</w:t>
      </w:r>
      <w:r>
        <w:rPr>
          <w:rFonts w:hint="eastAsia" w:ascii="仿宋_GB2312" w:hAnsi="仿宋_GB2312" w:eastAsia="仿宋_GB2312" w:cs="仿宋_GB2312"/>
          <w:color w:val="auto"/>
          <w:sz w:val="32"/>
          <w:szCs w:val="32"/>
          <w:u w:val="none"/>
          <w:lang w:eastAsia="zh-CN"/>
        </w:rPr>
        <w:t>及经营者的身份信息</w:t>
      </w:r>
      <w:bookmarkEnd w:id="10"/>
      <w:r>
        <w:rPr>
          <w:rFonts w:hint="eastAsia" w:ascii="仿宋_GB2312" w:hAnsi="仿宋_GB2312" w:eastAsia="仿宋_GB2312" w:cs="仿宋_GB2312"/>
          <w:color w:val="auto"/>
          <w:sz w:val="32"/>
          <w:szCs w:val="32"/>
          <w:u w:val="none"/>
          <w:lang w:eastAsia="zh-CN"/>
        </w:rPr>
        <w:t>。</w:t>
      </w:r>
    </w:p>
    <w:p w14:paraId="111DE8C0">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bookmarkStart w:id="11" w:name="OLE_LINK24"/>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现场</w:t>
      </w:r>
      <w:r>
        <w:rPr>
          <w:rFonts w:hint="eastAsia" w:ascii="仿宋_GB2312" w:hAnsi="仿宋_GB2312" w:eastAsia="仿宋_GB2312" w:cs="仿宋_GB2312"/>
          <w:color w:val="auto"/>
          <w:sz w:val="32"/>
          <w:szCs w:val="32"/>
          <w:u w:val="none"/>
          <w:lang w:eastAsia="zh-CN"/>
        </w:rPr>
        <w:t>笔录》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询问笔录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检验</w:t>
      </w:r>
      <w:r>
        <w:rPr>
          <w:rFonts w:hint="eastAsia" w:ascii="仿宋_GB2312" w:hAnsi="仿宋_GB2312" w:eastAsia="仿宋_GB2312" w:cs="仿宋_GB2312"/>
          <w:color w:val="auto"/>
          <w:sz w:val="32"/>
          <w:szCs w:val="32"/>
          <w:u w:val="none"/>
          <w:lang w:eastAsia="zh-CN"/>
        </w:rPr>
        <w:t>报告》</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bCs/>
          <w:color w:val="auto"/>
          <w:sz w:val="32"/>
          <w:szCs w:val="32"/>
          <w:u w:val="none"/>
          <w:lang w:eastAsia="zh-CN"/>
        </w:rPr>
        <w:t>《食品安全抽样检验结果通知书》</w:t>
      </w:r>
      <w:r>
        <w:rPr>
          <w:rFonts w:hint="eastAsia" w:ascii="仿宋_GB2312" w:hAnsi="仿宋_GB2312" w:eastAsia="仿宋_GB2312" w:cs="仿宋_GB2312"/>
          <w:bCs/>
          <w:color w:val="auto"/>
          <w:sz w:val="32"/>
          <w:szCs w:val="32"/>
          <w:u w:val="none"/>
          <w:lang w:val="en-US" w:eastAsia="zh-CN"/>
        </w:rPr>
        <w:t>1份，《证据提取单》4份</w:t>
      </w:r>
      <w:bookmarkEnd w:id="11"/>
      <w:r>
        <w:rPr>
          <w:rFonts w:hint="eastAsia" w:ascii="仿宋_GB2312" w:hAnsi="仿宋_GB2312" w:eastAsia="仿宋_GB2312" w:cs="仿宋_GB2312"/>
          <w:bCs/>
          <w:color w:val="auto"/>
          <w:sz w:val="32"/>
          <w:szCs w:val="32"/>
          <w:u w:val="none"/>
          <w:lang w:val="en-US" w:eastAsia="zh-CN"/>
        </w:rPr>
        <w:t>，</w:t>
      </w:r>
      <w:bookmarkStart w:id="12" w:name="OLE_LINK25"/>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bCs/>
          <w:color w:val="auto"/>
          <w:sz w:val="32"/>
          <w:szCs w:val="32"/>
          <w:u w:val="none"/>
          <w:lang w:eastAsia="zh-CN"/>
        </w:rPr>
        <w:t>经营氯氟氰菊酯和高效氯氟氰菊酯项目不符合GB 2763-2021《食品安全国家标准 食品中农药最大残留限量》要求</w:t>
      </w:r>
      <w:r>
        <w:rPr>
          <w:rFonts w:hint="eastAsia" w:ascii="仿宋_GB2312" w:hAnsi="仿宋_GB2312" w:eastAsia="仿宋_GB2312" w:cs="仿宋_GB2312"/>
          <w:bCs/>
          <w:color w:val="auto"/>
          <w:sz w:val="32"/>
          <w:szCs w:val="32"/>
          <w:u w:val="none"/>
          <w:lang w:val="en-US" w:eastAsia="zh-CN"/>
        </w:rPr>
        <w:t>的</w:t>
      </w:r>
      <w:r>
        <w:rPr>
          <w:rFonts w:hint="eastAsia" w:ascii="仿宋_GB2312" w:hAnsi="仿宋_GB2312" w:eastAsia="仿宋_GB2312" w:cs="仿宋_GB2312"/>
          <w:color w:val="auto"/>
          <w:sz w:val="32"/>
          <w:szCs w:val="32"/>
          <w:u w:val="none"/>
          <w:lang w:val="en-US" w:eastAsia="zh-CN"/>
        </w:rPr>
        <w:t>鹰嘴桃及</w:t>
      </w:r>
      <w:r>
        <w:rPr>
          <w:rFonts w:hint="eastAsia" w:ascii="仿宋_GB2312" w:hAnsi="仿宋_GB2312" w:eastAsia="仿宋_GB2312" w:cs="仿宋_GB2312"/>
          <w:color w:val="auto"/>
          <w:sz w:val="32"/>
          <w:szCs w:val="32"/>
        </w:rPr>
        <w:t>在采购</w:t>
      </w:r>
      <w:r>
        <w:rPr>
          <w:rFonts w:hint="eastAsia" w:ascii="仿宋_GB2312" w:hAnsi="仿宋_GB2312" w:eastAsia="仿宋_GB2312" w:cs="仿宋_GB2312"/>
          <w:bCs/>
          <w:color w:val="auto"/>
          <w:sz w:val="32"/>
          <w:szCs w:val="32"/>
          <w:u w:val="none"/>
          <w:lang w:val="en-US" w:eastAsia="zh-CN"/>
        </w:rPr>
        <w:t>未查验供货商的资质及食品合格证明文件，</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建立食用农产品进货查验记录制度，</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u w:val="none"/>
          <w:lang w:eastAsia="zh-CN"/>
        </w:rPr>
        <w:t>的事实。</w:t>
      </w:r>
      <w:bookmarkEnd w:id="12"/>
    </w:p>
    <w:p w14:paraId="1F0DA243">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以上证据均由</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签名认可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t xml:space="preserve">  </w:t>
      </w:r>
    </w:p>
    <w:p w14:paraId="2BCD911B">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none"/>
          <w:lang w:eastAsia="zh-CN"/>
        </w:rPr>
        <w:t>我局于202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年</w:t>
      </w:r>
      <w:r>
        <w:rPr>
          <w:rFonts w:hint="eastAsia" w:ascii="仿宋_GB2312" w:hAnsi="仿宋_GB2312" w:eastAsia="仿宋_GB2312" w:cs="仿宋_GB2312"/>
          <w:b w:val="0"/>
          <w:bCs w:val="0"/>
          <w:color w:val="auto"/>
          <w:sz w:val="32"/>
          <w:szCs w:val="32"/>
          <w:u w:val="none"/>
          <w:lang w:val="en-US" w:eastAsia="zh-CN"/>
        </w:rPr>
        <w:t>9</w:t>
      </w:r>
      <w:r>
        <w:rPr>
          <w:rFonts w:hint="eastAsia" w:ascii="仿宋_GB2312" w:hAnsi="仿宋_GB2312" w:eastAsia="仿宋_GB2312" w:cs="仿宋_GB2312"/>
          <w:b w:val="0"/>
          <w:bCs w:val="0"/>
          <w:color w:val="auto"/>
          <w:sz w:val="32"/>
          <w:szCs w:val="32"/>
          <w:u w:val="none"/>
          <w:lang w:eastAsia="zh-CN"/>
        </w:rPr>
        <w:t>月</w:t>
      </w:r>
      <w:r>
        <w:rPr>
          <w:rFonts w:hint="eastAsia" w:ascii="仿宋_GB2312" w:hAnsi="仿宋_GB2312" w:eastAsia="仿宋_GB2312" w:cs="仿宋_GB2312"/>
          <w:b w:val="0"/>
          <w:bCs w:val="0"/>
          <w:color w:val="auto"/>
          <w:sz w:val="32"/>
          <w:szCs w:val="32"/>
          <w:u w:val="none"/>
          <w:lang w:val="en-US" w:eastAsia="zh-CN"/>
        </w:rPr>
        <w:t>18</w:t>
      </w:r>
      <w:r>
        <w:rPr>
          <w:rFonts w:hint="eastAsia" w:ascii="仿宋_GB2312" w:hAnsi="仿宋_GB2312" w:eastAsia="仿宋_GB2312" w:cs="仿宋_GB2312"/>
          <w:b w:val="0"/>
          <w:bCs w:val="0"/>
          <w:color w:val="auto"/>
          <w:sz w:val="32"/>
          <w:szCs w:val="32"/>
          <w:u w:val="none"/>
          <w:lang w:eastAsia="zh-CN"/>
        </w:rPr>
        <w:t>日向当事人送达了《行政处罚告知书》（柳北市监罚告〔202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156</w:t>
      </w:r>
      <w:r>
        <w:rPr>
          <w:rFonts w:hint="eastAsia" w:ascii="仿宋_GB2312" w:hAnsi="仿宋_GB2312" w:eastAsia="仿宋_GB2312" w:cs="仿宋_GB2312"/>
          <w:b w:val="0"/>
          <w:bCs w:val="0"/>
          <w:color w:val="auto"/>
          <w:sz w:val="32"/>
          <w:szCs w:val="32"/>
          <w:u w:val="none"/>
          <w:lang w:eastAsia="zh-CN"/>
        </w:rPr>
        <w:t>号），告知当事人我局拟</w:t>
      </w:r>
      <w:r>
        <w:rPr>
          <w:rFonts w:hint="eastAsia" w:ascii="仿宋_GB2312" w:hAnsi="仿宋_GB2312" w:eastAsia="仿宋_GB2312" w:cs="仿宋_GB2312"/>
          <w:b w:val="0"/>
          <w:bCs w:val="0"/>
          <w:color w:val="auto"/>
          <w:sz w:val="32"/>
          <w:szCs w:val="32"/>
          <w:u w:val="none"/>
          <w:lang w:val="en-US" w:eastAsia="zh-CN"/>
        </w:rPr>
        <w:t>作出</w:t>
      </w:r>
      <w:r>
        <w:rPr>
          <w:rFonts w:hint="eastAsia" w:ascii="仿宋_GB2312" w:hAnsi="仿宋_GB2312" w:eastAsia="仿宋_GB2312" w:cs="仿宋_GB2312"/>
          <w:b w:val="0"/>
          <w:bCs w:val="0"/>
          <w:color w:val="auto"/>
          <w:sz w:val="32"/>
          <w:szCs w:val="32"/>
          <w:u w:val="none"/>
          <w:lang w:eastAsia="zh-CN"/>
        </w:rPr>
        <w:t>行政处罚的事实、理由、依据、处罚内容及享有的权利。当</w:t>
      </w:r>
      <w:r>
        <w:rPr>
          <w:rFonts w:hint="eastAsia" w:ascii="仿宋_GB2312" w:hAnsi="仿宋_GB2312" w:eastAsia="仿宋_GB2312" w:cs="仿宋_GB2312"/>
          <w:color w:val="auto"/>
          <w:sz w:val="32"/>
          <w:szCs w:val="32"/>
          <w:u w:val="none"/>
          <w:lang w:eastAsia="zh-CN"/>
        </w:rPr>
        <w:t xml:space="preserve">事人在法定期限内未提出陈述、申辩。   </w:t>
      </w:r>
      <w:r>
        <w:rPr>
          <w:rFonts w:hint="eastAsia" w:ascii="仿宋_GB2312" w:hAnsi="仿宋_GB2312" w:eastAsia="仿宋_GB2312" w:cs="仿宋_GB2312"/>
          <w:color w:val="auto"/>
          <w:sz w:val="32"/>
          <w:szCs w:val="32"/>
          <w:u w:val="none"/>
        </w:rPr>
        <w:t xml:space="preserve">   </w:t>
      </w:r>
    </w:p>
    <w:bookmarkEnd w:id="5"/>
    <w:p w14:paraId="3168EA0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pacing w:val="0"/>
          <w:sz w:val="32"/>
          <w:szCs w:val="32"/>
          <w:lang w:val="en-US" w:eastAsia="zh-CN"/>
        </w:rPr>
        <w:t>当事人</w:t>
      </w:r>
      <w:r>
        <w:rPr>
          <w:rFonts w:hint="eastAsia" w:ascii="仿宋_GB2312" w:hAnsi="仿宋_GB2312" w:eastAsia="仿宋_GB2312" w:cs="仿宋_GB2312"/>
          <w:color w:val="auto"/>
          <w:spacing w:val="0"/>
          <w:sz w:val="32"/>
          <w:szCs w:val="32"/>
          <w:lang w:eastAsia="zh-CN"/>
        </w:rPr>
        <w:t>经营上</w:t>
      </w:r>
      <w:r>
        <w:rPr>
          <w:rFonts w:hint="eastAsia" w:ascii="仿宋_GB2312" w:hAnsi="仿宋_GB2312" w:eastAsia="仿宋_GB2312" w:cs="仿宋_GB2312"/>
          <w:color w:val="auto"/>
          <w:spacing w:val="0"/>
          <w:sz w:val="32"/>
          <w:szCs w:val="32"/>
          <w:lang w:val="en-US" w:eastAsia="zh-CN"/>
        </w:rPr>
        <w:t>述鹰嘴桃</w:t>
      </w:r>
      <w:r>
        <w:rPr>
          <w:rFonts w:hint="eastAsia" w:ascii="仿宋_GB2312" w:hAnsi="仿宋_GB2312" w:eastAsia="仿宋_GB2312" w:cs="仿宋_GB2312"/>
          <w:color w:val="auto"/>
          <w:spacing w:val="0"/>
          <w:sz w:val="32"/>
          <w:szCs w:val="32"/>
          <w:lang w:eastAsia="zh-CN"/>
        </w:rPr>
        <w:t>的行为</w:t>
      </w:r>
      <w:r>
        <w:rPr>
          <w:rFonts w:hint="eastAsia" w:ascii="仿宋_GB2312" w:hAnsi="仿宋_GB2312" w:eastAsia="仿宋_GB2312" w:cs="仿宋_GB2312"/>
          <w:color w:val="auto"/>
          <w:spacing w:val="0"/>
          <w:sz w:val="32"/>
          <w:szCs w:val="32"/>
        </w:rPr>
        <w:t>，违反了《</w:t>
      </w:r>
      <w:r>
        <w:rPr>
          <w:rFonts w:hint="eastAsia" w:ascii="仿宋_GB2312" w:hAnsi="仿宋_GB2312" w:eastAsia="仿宋_GB2312" w:cs="仿宋_GB2312"/>
          <w:color w:val="auto"/>
          <w:spacing w:val="0"/>
          <w:sz w:val="32"/>
          <w:szCs w:val="32"/>
          <w:lang w:eastAsia="zh-CN"/>
        </w:rPr>
        <w:t>中华人</w:t>
      </w:r>
      <w:r>
        <w:rPr>
          <w:rFonts w:hint="eastAsia" w:ascii="仿宋_GB2312" w:hAnsi="仿宋_GB2312" w:eastAsia="仿宋_GB2312" w:cs="仿宋_GB2312"/>
          <w:color w:val="auto"/>
          <w:sz w:val="32"/>
          <w:szCs w:val="32"/>
          <w:u w:val="none"/>
          <w:lang w:eastAsia="zh-CN"/>
        </w:rPr>
        <w:t>民共和国食品安全法</w:t>
      </w:r>
      <w:r>
        <w:rPr>
          <w:rFonts w:hint="eastAsia" w:ascii="仿宋_GB2312" w:hAnsi="仿宋_GB2312" w:eastAsia="仿宋_GB2312" w:cs="仿宋_GB2312"/>
          <w:color w:val="auto"/>
          <w:sz w:val="32"/>
          <w:szCs w:val="32"/>
          <w:u w:val="none"/>
        </w:rPr>
        <w:t>》第</w:t>
      </w:r>
      <w:r>
        <w:rPr>
          <w:rFonts w:hint="eastAsia" w:ascii="仿宋_GB2312" w:hAnsi="仿宋_GB2312" w:eastAsia="仿宋_GB2312" w:cs="仿宋_GB2312"/>
          <w:color w:val="auto"/>
          <w:sz w:val="32"/>
          <w:szCs w:val="32"/>
          <w:u w:val="none"/>
          <w:lang w:eastAsia="zh-CN"/>
        </w:rPr>
        <w:t>三十四</w:t>
      </w:r>
      <w:r>
        <w:rPr>
          <w:rFonts w:hint="eastAsia" w:ascii="仿宋_GB2312" w:hAnsi="仿宋_GB2312" w:eastAsia="仿宋_GB2312" w:cs="仿宋_GB2312"/>
          <w:color w:val="auto"/>
          <w:sz w:val="32"/>
          <w:szCs w:val="32"/>
          <w:u w:val="none"/>
        </w:rPr>
        <w:t>条</w:t>
      </w:r>
      <w:r>
        <w:rPr>
          <w:rFonts w:hint="eastAsia" w:ascii="仿宋_GB2312" w:hAnsi="仿宋_GB2312" w:eastAsia="仿宋_GB2312" w:cs="仿宋_GB2312"/>
          <w:color w:val="auto"/>
          <w:sz w:val="32"/>
          <w:szCs w:val="32"/>
          <w:u w:val="none"/>
          <w:lang w:eastAsia="zh-CN"/>
        </w:rPr>
        <w:t>第一款</w:t>
      </w:r>
      <w:r>
        <w:rPr>
          <w:rFonts w:hint="eastAsia" w:ascii="仿宋_GB2312" w:hAnsi="仿宋_GB2312" w:eastAsia="仿宋_GB2312" w:cs="仿宋_GB2312"/>
          <w:color w:val="auto"/>
          <w:sz w:val="32"/>
          <w:szCs w:val="32"/>
          <w:u w:val="none"/>
        </w:rPr>
        <w:t>第二项</w:t>
      </w:r>
      <w:r>
        <w:rPr>
          <w:rFonts w:hint="eastAsia" w:ascii="仿宋_GB2312" w:hAnsi="仿宋_GB2312" w:eastAsia="仿宋_GB2312" w:cs="仿宋_GB2312"/>
          <w:color w:val="auto"/>
          <w:sz w:val="32"/>
          <w:szCs w:val="32"/>
          <w:u w:val="none"/>
          <w:lang w:val="en-US" w:eastAsia="zh-CN"/>
        </w:rPr>
        <w:t>的规定，</w:t>
      </w:r>
      <w:r>
        <w:rPr>
          <w:rFonts w:hint="eastAsia" w:ascii="仿宋_GB2312" w:hAnsi="仿宋_GB2312" w:eastAsia="仿宋_GB2312" w:cs="仿宋_GB2312"/>
          <w:color w:val="auto"/>
          <w:sz w:val="32"/>
          <w:szCs w:val="32"/>
          <w:u w:val="none"/>
        </w:rPr>
        <w:t>属于</w:t>
      </w:r>
      <w:r>
        <w:rPr>
          <w:rFonts w:hint="eastAsia" w:ascii="仿宋_GB2312" w:hAnsi="仿宋_GB2312" w:eastAsia="仿宋_GB2312" w:cs="仿宋_GB2312"/>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农药残留含量</w:t>
      </w:r>
      <w:r>
        <w:rPr>
          <w:rFonts w:hint="eastAsia" w:ascii="仿宋_GB2312" w:hAnsi="仿宋_GB2312" w:eastAsia="仿宋_GB2312" w:cs="仿宋_GB2312"/>
          <w:color w:val="auto"/>
          <w:sz w:val="32"/>
          <w:szCs w:val="32"/>
          <w:u w:val="none"/>
        </w:rPr>
        <w:t>超过食品安全标准限量的食品的行为。</w:t>
      </w:r>
      <w:r>
        <w:rPr>
          <w:rFonts w:hint="eastAsia" w:ascii="仿宋_GB2312" w:hAnsi="仿宋_GB2312" w:eastAsia="仿宋_GB2312" w:cs="仿宋_GB2312"/>
          <w:color w:val="auto"/>
          <w:sz w:val="32"/>
          <w:szCs w:val="32"/>
        </w:rPr>
        <w:t>上述批次</w:t>
      </w:r>
      <w:r>
        <w:rPr>
          <w:rFonts w:hint="eastAsia" w:ascii="仿宋_GB2312" w:hAnsi="仿宋_GB2312" w:eastAsia="仿宋_GB2312" w:cs="仿宋_GB2312"/>
          <w:color w:val="auto"/>
          <w:sz w:val="32"/>
          <w:szCs w:val="32"/>
          <w:lang w:eastAsia="zh-CN"/>
        </w:rPr>
        <w:t>鹰嘴桃</w:t>
      </w:r>
      <w:r>
        <w:rPr>
          <w:rFonts w:hint="eastAsia" w:ascii="仿宋_GB2312" w:hAnsi="仿宋_GB2312" w:eastAsia="仿宋_GB2312" w:cs="仿宋_GB2312"/>
          <w:color w:val="auto"/>
          <w:sz w:val="32"/>
          <w:szCs w:val="32"/>
        </w:rPr>
        <w:t>货值金额为</w:t>
      </w:r>
      <w:r>
        <w:rPr>
          <w:rFonts w:hint="eastAsia" w:ascii="仿宋_GB2312" w:hAnsi="仿宋_GB2312" w:eastAsia="仿宋_GB2312" w:cs="仿宋_GB2312"/>
          <w:color w:val="auto"/>
          <w:sz w:val="32"/>
          <w:szCs w:val="32"/>
          <w:lang w:val="en-US" w:eastAsia="zh-CN"/>
        </w:rPr>
        <w:t>144</w:t>
      </w:r>
      <w:r>
        <w:rPr>
          <w:rFonts w:hint="eastAsia" w:ascii="仿宋_GB2312" w:hAnsi="仿宋_GB2312" w:eastAsia="仿宋_GB2312" w:cs="仿宋_GB2312"/>
          <w:color w:val="auto"/>
          <w:sz w:val="32"/>
          <w:szCs w:val="32"/>
        </w:rPr>
        <w:t>元，违法所得为</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元。</w:t>
      </w:r>
    </w:p>
    <w:p w14:paraId="11F8A00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当事人采购上述</w:t>
      </w:r>
      <w:r>
        <w:rPr>
          <w:rFonts w:hint="eastAsia" w:ascii="仿宋_GB2312" w:hAnsi="仿宋_GB2312" w:eastAsia="仿宋_GB2312" w:cs="仿宋_GB2312"/>
          <w:color w:val="auto"/>
          <w:sz w:val="32"/>
          <w:szCs w:val="32"/>
          <w:u w:val="none"/>
          <w:lang w:val="en-US" w:eastAsia="zh-CN"/>
        </w:rPr>
        <w:t>鹰嘴桃</w:t>
      </w:r>
      <w:r>
        <w:rPr>
          <w:rFonts w:hint="eastAsia" w:ascii="仿宋_GB2312" w:hAnsi="仿宋_GB2312" w:eastAsia="仿宋_GB2312" w:cs="仿宋_GB2312"/>
          <w:color w:val="auto"/>
          <w:sz w:val="32"/>
          <w:szCs w:val="32"/>
          <w:u w:val="none"/>
          <w:lang w:eastAsia="zh-CN"/>
        </w:rPr>
        <w:t>时未查验供货商的资质</w:t>
      </w:r>
      <w:r>
        <w:rPr>
          <w:rFonts w:hint="eastAsia" w:ascii="仿宋_GB2312" w:hAnsi="仿宋_GB2312" w:eastAsia="仿宋_GB2312" w:cs="仿宋_GB2312"/>
          <w:bCs/>
          <w:color w:val="auto"/>
          <w:sz w:val="32"/>
          <w:szCs w:val="32"/>
          <w:u w:val="none"/>
          <w:lang w:val="en-US" w:eastAsia="zh-CN"/>
        </w:rPr>
        <w:t>及食品合格证明文件</w:t>
      </w:r>
      <w:r>
        <w:rPr>
          <w:rFonts w:hint="eastAsia" w:ascii="仿宋_GB2312" w:hAnsi="仿宋_GB2312" w:eastAsia="仿宋_GB2312" w:cs="仿宋_GB2312"/>
          <w:color w:val="auto"/>
          <w:sz w:val="32"/>
          <w:szCs w:val="32"/>
          <w:u w:val="none"/>
          <w:lang w:eastAsia="zh-CN"/>
        </w:rPr>
        <w:t>的行为，违反了《中华人民共和国食品安全法》第五十三条第一款的规定，</w:t>
      </w:r>
      <w:r>
        <w:rPr>
          <w:rFonts w:hint="eastAsia" w:ascii="仿宋_GB2312" w:hAnsi="仿宋_GB2312" w:eastAsia="仿宋_GB2312" w:cs="仿宋_GB2312"/>
          <w:color w:val="auto"/>
          <w:sz w:val="32"/>
          <w:szCs w:val="32"/>
        </w:rPr>
        <w:t>属于未按规定履行进货查验义务的行为</w:t>
      </w:r>
      <w:r>
        <w:rPr>
          <w:rFonts w:hint="eastAsia" w:ascii="仿宋_GB2312" w:hAnsi="仿宋_GB2312" w:eastAsia="仿宋_GB2312" w:cs="仿宋_GB2312"/>
          <w:color w:val="auto"/>
          <w:sz w:val="32"/>
          <w:szCs w:val="32"/>
          <w:u w:val="none"/>
          <w:lang w:eastAsia="zh-CN"/>
        </w:rPr>
        <w:t>。</w:t>
      </w:r>
    </w:p>
    <w:p w14:paraId="227ABDB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当事人采购上述</w:t>
      </w:r>
      <w:r>
        <w:rPr>
          <w:rFonts w:hint="eastAsia" w:ascii="仿宋_GB2312" w:hAnsi="仿宋_GB2312" w:eastAsia="仿宋_GB2312" w:cs="仿宋_GB2312"/>
          <w:color w:val="auto"/>
          <w:sz w:val="32"/>
          <w:szCs w:val="32"/>
          <w:u w:val="none"/>
          <w:lang w:val="en-US" w:eastAsia="zh-CN"/>
        </w:rPr>
        <w:t>鹰嘴桃</w:t>
      </w:r>
      <w:r>
        <w:rPr>
          <w:rFonts w:hint="eastAsia"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建立食用农产品进货查验记录制度，</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u w:val="none"/>
          <w:lang w:eastAsia="zh-CN"/>
        </w:rPr>
        <w:t>的行为，违反了《中华人民共和国食品安全法》第六十五条</w:t>
      </w:r>
      <w:bookmarkStart w:id="13" w:name="tiao_53_kuan_1"/>
      <w:bookmarkEnd w:id="13"/>
      <w:r>
        <w:rPr>
          <w:rFonts w:hint="eastAsia" w:ascii="仿宋_GB2312" w:hAnsi="仿宋_GB2312" w:eastAsia="仿宋_GB2312" w:cs="仿宋_GB2312"/>
          <w:color w:val="auto"/>
          <w:sz w:val="32"/>
          <w:szCs w:val="32"/>
          <w:u w:val="none"/>
          <w:lang w:eastAsia="zh-CN"/>
        </w:rPr>
        <w:t>的规定，</w:t>
      </w:r>
      <w:r>
        <w:rPr>
          <w:rFonts w:hint="eastAsia" w:ascii="仿宋_GB2312" w:hAnsi="仿宋_GB2312" w:eastAsia="仿宋_GB2312" w:cs="仿宋_GB2312"/>
          <w:color w:val="auto"/>
          <w:sz w:val="32"/>
          <w:szCs w:val="32"/>
        </w:rPr>
        <w:t>属于未按规定</w:t>
      </w:r>
      <w:r>
        <w:rPr>
          <w:rFonts w:hint="eastAsia" w:ascii="仿宋_GB2312" w:hAnsi="仿宋_GB2312" w:eastAsia="仿宋_GB2312" w:cs="仿宋_GB2312"/>
          <w:color w:val="auto"/>
          <w:sz w:val="32"/>
          <w:szCs w:val="32"/>
          <w:lang w:eastAsia="zh-CN"/>
        </w:rPr>
        <w:t>建立食用农产品进货查验记录制度及</w:t>
      </w:r>
      <w:r>
        <w:rPr>
          <w:rFonts w:hint="eastAsia" w:ascii="仿宋_GB2312" w:hAnsi="仿宋_GB2312" w:eastAsia="仿宋_GB2312" w:cs="仿宋_GB2312"/>
          <w:color w:val="auto"/>
          <w:sz w:val="32"/>
          <w:szCs w:val="32"/>
          <w:u w:val="none"/>
          <w:lang w:eastAsia="zh-CN"/>
        </w:rPr>
        <w:t>保存相关凭证</w:t>
      </w:r>
      <w:r>
        <w:rPr>
          <w:rFonts w:hint="eastAsia" w:ascii="仿宋_GB2312" w:hAnsi="仿宋_GB2312" w:eastAsia="仿宋_GB2312" w:cs="仿宋_GB2312"/>
          <w:color w:val="auto"/>
          <w:sz w:val="32"/>
          <w:szCs w:val="32"/>
        </w:rPr>
        <w:t>的行为</w:t>
      </w:r>
      <w:r>
        <w:rPr>
          <w:rFonts w:hint="eastAsia" w:ascii="仿宋_GB2312" w:hAnsi="仿宋_GB2312" w:eastAsia="仿宋_GB2312" w:cs="仿宋_GB2312"/>
          <w:color w:val="auto"/>
          <w:sz w:val="32"/>
          <w:szCs w:val="32"/>
          <w:u w:val="none"/>
          <w:lang w:eastAsia="zh-CN"/>
        </w:rPr>
        <w:t>。</w:t>
      </w:r>
    </w:p>
    <w:p w14:paraId="08B48BD2">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当事人的经营场所为通建中天城农贸</w:t>
      </w:r>
      <w:r>
        <w:rPr>
          <w:rFonts w:hint="eastAsia" w:ascii="仿宋_GB2312" w:hAnsi="仿宋_GB2312" w:eastAsia="仿宋_GB2312" w:cs="仿宋_GB2312"/>
          <w:color w:val="auto"/>
          <w:sz w:val="32"/>
          <w:szCs w:val="32"/>
          <w:lang w:val="en-US" w:eastAsia="zh-CN"/>
        </w:rPr>
        <w:t>市场</w:t>
      </w:r>
      <w:r>
        <w:rPr>
          <w:rFonts w:hint="eastAsia" w:ascii="仿宋_GB2312" w:hAnsi="仿宋_GB2312" w:eastAsia="仿宋_GB2312" w:cs="仿宋_GB2312"/>
          <w:bCs/>
          <w:color w:val="auto"/>
          <w:sz w:val="32"/>
          <w:szCs w:val="32"/>
          <w:u w:val="none"/>
          <w:lang w:eastAsia="zh-CN"/>
        </w:rPr>
        <w:t>内的固定摊点，</w:t>
      </w:r>
      <w:r>
        <w:rPr>
          <w:rFonts w:hint="eastAsia" w:ascii="仿宋_GB2312" w:hAnsi="仿宋_GB2312" w:eastAsia="仿宋_GB2312" w:cs="仿宋_GB2312"/>
          <w:color w:val="auto"/>
          <w:sz w:val="32"/>
          <w:szCs w:val="32"/>
          <w:u w:val="none"/>
          <w:lang w:eastAsia="zh-CN"/>
        </w:rPr>
        <w:t>根据《广西壮族自治区食品安全条例》第八十五条第二款的规定，当事人属于食品摊贩，因此当事人的上述行为构成《广西壮族自治区食品小作坊小餐饮和食品摊贩管理条例》第二十八条第一款第五项规定的违法行为。</w:t>
      </w:r>
    </w:p>
    <w:p w14:paraId="7F10868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依据</w:t>
      </w:r>
      <w:r>
        <w:rPr>
          <w:rFonts w:hint="eastAsia" w:ascii="仿宋_GB2312" w:hAnsi="仿宋_GB2312" w:eastAsia="仿宋_GB2312" w:cs="仿宋_GB2312"/>
          <w:color w:val="auto"/>
          <w:sz w:val="32"/>
          <w:szCs w:val="32"/>
          <w:u w:val="none"/>
          <w:lang w:eastAsia="zh-CN"/>
        </w:rPr>
        <w:t>《中华人民共和国食品安全法》第一百二十七条、</w:t>
      </w:r>
      <w:r>
        <w:rPr>
          <w:rFonts w:hint="eastAsia" w:ascii="仿宋_GB2312" w:hAnsi="仿宋_GB2312" w:eastAsia="仿宋_GB2312" w:cs="仿宋_GB2312"/>
          <w:color w:val="auto"/>
          <w:sz w:val="32"/>
          <w:szCs w:val="32"/>
          <w:u w:val="none"/>
        </w:rPr>
        <w:t>《</w:t>
      </w:r>
      <w:bookmarkStart w:id="14" w:name="OLE_LINK6"/>
      <w:r>
        <w:rPr>
          <w:rFonts w:hint="eastAsia" w:ascii="仿宋_GB2312" w:hAnsi="仿宋_GB2312" w:eastAsia="仿宋_GB2312" w:cs="仿宋_GB2312"/>
          <w:color w:val="auto"/>
          <w:sz w:val="32"/>
          <w:szCs w:val="32"/>
          <w:u w:val="none"/>
          <w:lang w:eastAsia="zh-CN"/>
        </w:rPr>
        <w:t>广西壮族自治区食品小作坊小餐饮和食品摊贩管理条例</w:t>
      </w:r>
      <w:bookmarkEnd w:id="14"/>
      <w:r>
        <w:rPr>
          <w:rFonts w:hint="eastAsia" w:ascii="仿宋_GB2312" w:hAnsi="仿宋_GB2312" w:eastAsia="仿宋_GB2312" w:cs="仿宋_GB2312"/>
          <w:color w:val="auto"/>
          <w:sz w:val="32"/>
          <w:szCs w:val="32"/>
          <w:u w:val="none"/>
          <w:lang w:eastAsia="zh-CN"/>
        </w:rPr>
        <w:t>》第四十三条</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z w:val="32"/>
          <w:szCs w:val="32"/>
          <w:u w:val="none"/>
          <w:lang w:eastAsia="zh-CN"/>
        </w:rPr>
        <w:t>《中华人民共和国行政处罚法》</w:t>
      </w:r>
      <w:r>
        <w:rPr>
          <w:rFonts w:hint="eastAsia" w:ascii="仿宋_GB2312" w:hAnsi="仿宋_GB2312" w:eastAsia="仿宋_GB2312" w:cs="仿宋_GB2312"/>
          <w:b w:val="0"/>
          <w:bCs w:val="0"/>
          <w:i w:val="0"/>
          <w:iCs w:val="0"/>
          <w:caps w:val="0"/>
          <w:color w:val="auto"/>
          <w:spacing w:val="0"/>
          <w:sz w:val="32"/>
          <w:szCs w:val="32"/>
          <w:shd w:val="clear" w:color="auto" w:fill="FFFFFF"/>
        </w:rPr>
        <w:t>第二十八条</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第二款</w:t>
      </w:r>
      <w:r>
        <w:rPr>
          <w:rFonts w:hint="eastAsia" w:ascii="仿宋_GB2312" w:hAnsi="仿宋_GB2312" w:eastAsia="仿宋_GB2312" w:cs="仿宋_GB2312"/>
          <w:color w:val="auto"/>
          <w:sz w:val="32"/>
          <w:szCs w:val="32"/>
          <w:u w:val="none"/>
        </w:rPr>
        <w:t>的规定，</w:t>
      </w:r>
      <w:r>
        <w:rPr>
          <w:rFonts w:hint="eastAsia" w:ascii="仿宋_GB2312" w:hAnsi="仿宋_GB2312" w:eastAsia="仿宋_GB2312" w:cs="仿宋_GB2312"/>
          <w:color w:val="auto"/>
          <w:sz w:val="32"/>
          <w:szCs w:val="32"/>
          <w:u w:val="none"/>
          <w:lang w:val="en-US" w:eastAsia="zh-CN"/>
        </w:rPr>
        <w:t>我局决定责令当事人立即改正上述违法行为，并给予当事人如下行政处罚：</w:t>
      </w:r>
    </w:p>
    <w:p w14:paraId="622FACF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1.警告；</w:t>
      </w:r>
    </w:p>
    <w:p w14:paraId="74DCEF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rPr>
        <w:t>2.没收违法所得</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元。</w:t>
      </w:r>
    </w:p>
    <w:p w14:paraId="1077890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rPr>
        <w:t>凭《广西壮族自治区非税收入电子缴款通知书》到中国建设银行缴纳</w:t>
      </w:r>
      <w:r>
        <w:rPr>
          <w:rFonts w:hint="eastAsia" w:ascii="仿宋_GB2312" w:hAnsi="仿宋_GB2312" w:eastAsia="仿宋_GB2312" w:cs="仿宋_GB2312"/>
          <w:color w:val="auto"/>
          <w:sz w:val="32"/>
          <w:szCs w:val="32"/>
          <w:lang w:eastAsia="zh-CN"/>
        </w:rPr>
        <w:t>上述款项</w:t>
      </w:r>
      <w:r>
        <w:rPr>
          <w:rFonts w:hint="eastAsia" w:ascii="仿宋_GB2312" w:hAnsi="仿宋_GB2312" w:eastAsia="仿宋_GB2312" w:cs="仿宋_GB2312"/>
          <w:color w:val="auto"/>
          <w:kern w:val="0"/>
          <w:sz w:val="32"/>
          <w:szCs w:val="32"/>
          <w:u w:val="none"/>
          <w:lang w:val="en-US" w:eastAsia="zh-CN" w:bidi="ar"/>
        </w:rPr>
        <w:t>。逾期不缴纳的，依据《中华人民共和国行政处罚法》第七十二条的规定，我局将依法申请人民法院强制执行。</w:t>
      </w:r>
      <w:r>
        <w:rPr>
          <w:rFonts w:hint="eastAsia" w:ascii="仿宋_GB2312" w:hAnsi="仿宋_GB2312" w:eastAsia="仿宋_GB2312" w:cs="仿宋_GB2312"/>
          <w:color w:val="auto"/>
          <w:sz w:val="32"/>
          <w:szCs w:val="32"/>
          <w:u w:val="none"/>
          <w:lang w:eastAsia="zh-CN"/>
        </w:rPr>
        <w:t xml:space="preserve">                       </w:t>
      </w:r>
    </w:p>
    <w:p w14:paraId="1C652EA0">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color w:val="auto"/>
          <w:sz w:val="32"/>
          <w:szCs w:val="32"/>
          <w:u w:val="none"/>
          <w:lang w:val="en-US" w:eastAsia="zh-CN"/>
        </w:rPr>
        <w:t>申请行政复议或者提起行政诉讼期间，行政处罚不停止执行。</w:t>
      </w:r>
    </w:p>
    <w:p w14:paraId="768AA0C0">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color w:val="auto"/>
          <w:sz w:val="32"/>
          <w:szCs w:val="32"/>
          <w:u w:val="none"/>
          <w:lang w:eastAsia="zh-CN"/>
        </w:rPr>
      </w:pPr>
    </w:p>
    <w:p w14:paraId="381D4EA8">
      <w:pPr>
        <w:pStyle w:val="2"/>
        <w:rPr>
          <w:rFonts w:hint="eastAsia" w:ascii="仿宋_GB2312" w:hAnsi="仿宋_GB2312" w:eastAsia="仿宋_GB2312" w:cs="仿宋_GB2312"/>
          <w:color w:val="auto"/>
          <w:sz w:val="32"/>
          <w:szCs w:val="32"/>
          <w:u w:val="none"/>
          <w:lang w:eastAsia="zh-CN"/>
        </w:rPr>
      </w:pPr>
    </w:p>
    <w:p w14:paraId="36E1BC5C">
      <w:pPr>
        <w:keepNext w:val="0"/>
        <w:keepLines w:val="0"/>
        <w:pageBreakBefore w:val="0"/>
        <w:widowControl w:val="0"/>
        <w:kinsoku/>
        <w:wordWrap/>
        <w:overflowPunct/>
        <w:topLinePunct w:val="0"/>
        <w:autoSpaceDE/>
        <w:autoSpaceDN/>
        <w:bidi w:val="0"/>
        <w:snapToGrid/>
        <w:spacing w:line="520" w:lineRule="exact"/>
        <w:ind w:firstLine="4800" w:firstLineChars="15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1DE1D90B">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 xml:space="preserve"> 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30</w:t>
      </w:r>
      <w:bookmarkStart w:id="15" w:name="_GoBack"/>
      <w:bookmarkEnd w:id="15"/>
      <w:r>
        <w:rPr>
          <w:rFonts w:hint="eastAsia" w:ascii="仿宋_GB2312" w:hAnsi="仿宋_GB2312" w:eastAsia="仿宋_GB2312" w:cs="仿宋_GB2312"/>
          <w:color w:val="auto"/>
          <w:sz w:val="32"/>
          <w:szCs w:val="32"/>
          <w:u w:val="none"/>
          <w:lang w:val="en-US" w:eastAsia="zh-CN"/>
        </w:rPr>
        <w:t>日</w:t>
      </w:r>
    </w:p>
    <w:p w14:paraId="1A3A1090">
      <w:pPr>
        <w:pStyle w:val="2"/>
        <w:rPr>
          <w:rFonts w:hint="eastAsia" w:ascii="仿宋_GB2312" w:hAnsi="仿宋_GB2312" w:eastAsia="仿宋_GB2312" w:cs="仿宋_GB2312"/>
          <w:b w:val="0"/>
          <w:bCs w:val="0"/>
          <w:color w:val="auto"/>
          <w:kern w:val="2"/>
          <w:sz w:val="32"/>
          <w:szCs w:val="32"/>
          <w:lang w:val="en-US" w:eastAsia="zh-CN" w:bidi="ar-SA"/>
        </w:rPr>
      </w:pPr>
    </w:p>
    <w:bookmarkEnd w:id="1"/>
    <w:p w14:paraId="7D89724C">
      <w:pPr>
        <w:keepNext w:val="0"/>
        <w:keepLines w:val="0"/>
        <w:pageBreakBefore w:val="0"/>
        <w:widowControl w:val="0"/>
        <w:kinsoku/>
        <w:wordWrap/>
        <w:overflowPunct/>
        <w:topLinePunct w:val="0"/>
        <w:autoSpaceDE/>
        <w:autoSpaceDN/>
        <w:bidi w:val="0"/>
        <w:adjustRightInd/>
        <w:snapToGrid/>
        <w:spacing w:line="40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79B62C02">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headerReference r:id="rId3" w:type="default"/>
      <w:footerReference r:id="rId4" w:type="default"/>
      <w:pgSz w:w="11906" w:h="16838"/>
      <w:pgMar w:top="1417" w:right="1249" w:bottom="1417" w:left="12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20DB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CFDAD6">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16CFDAD6">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FDB4">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0a1346c9-76b6-409f-9296-d22859e3d45e"/>
  </w:docVars>
  <w:rsids>
    <w:rsidRoot w:val="009F3D20"/>
    <w:rsid w:val="00452D7A"/>
    <w:rsid w:val="00571EF1"/>
    <w:rsid w:val="005C29E1"/>
    <w:rsid w:val="00615BC7"/>
    <w:rsid w:val="009536D0"/>
    <w:rsid w:val="009F3D20"/>
    <w:rsid w:val="00A846EF"/>
    <w:rsid w:val="00B84D6A"/>
    <w:rsid w:val="00F92F9B"/>
    <w:rsid w:val="01133753"/>
    <w:rsid w:val="01746C6F"/>
    <w:rsid w:val="01F054BC"/>
    <w:rsid w:val="01F70EC8"/>
    <w:rsid w:val="01F82284"/>
    <w:rsid w:val="01FC2F87"/>
    <w:rsid w:val="02076F1C"/>
    <w:rsid w:val="028D45DD"/>
    <w:rsid w:val="02FC3343"/>
    <w:rsid w:val="037D5B64"/>
    <w:rsid w:val="04A44C1C"/>
    <w:rsid w:val="050C66E8"/>
    <w:rsid w:val="05AA3F3C"/>
    <w:rsid w:val="05C74A0B"/>
    <w:rsid w:val="061255AF"/>
    <w:rsid w:val="08B700B5"/>
    <w:rsid w:val="09183D69"/>
    <w:rsid w:val="09FC73DF"/>
    <w:rsid w:val="0A3930ED"/>
    <w:rsid w:val="0AEF28D0"/>
    <w:rsid w:val="0B200F4F"/>
    <w:rsid w:val="0B6C5804"/>
    <w:rsid w:val="0BA13F3D"/>
    <w:rsid w:val="0BAD4BBE"/>
    <w:rsid w:val="0D916539"/>
    <w:rsid w:val="0E322633"/>
    <w:rsid w:val="0EEA79A9"/>
    <w:rsid w:val="0F100C45"/>
    <w:rsid w:val="0F2133BE"/>
    <w:rsid w:val="0F610C24"/>
    <w:rsid w:val="10A87B1C"/>
    <w:rsid w:val="113B358D"/>
    <w:rsid w:val="13250ADD"/>
    <w:rsid w:val="14401311"/>
    <w:rsid w:val="16A110D6"/>
    <w:rsid w:val="17154EC8"/>
    <w:rsid w:val="19177F83"/>
    <w:rsid w:val="195F080A"/>
    <w:rsid w:val="1B6D18C5"/>
    <w:rsid w:val="1BB6133F"/>
    <w:rsid w:val="1C072701"/>
    <w:rsid w:val="1D680EB6"/>
    <w:rsid w:val="1EE028DE"/>
    <w:rsid w:val="1FBA6F24"/>
    <w:rsid w:val="22384D53"/>
    <w:rsid w:val="226D7D7D"/>
    <w:rsid w:val="22C11C23"/>
    <w:rsid w:val="234E5EC7"/>
    <w:rsid w:val="24776664"/>
    <w:rsid w:val="248E73BE"/>
    <w:rsid w:val="24D9609E"/>
    <w:rsid w:val="25D02FFD"/>
    <w:rsid w:val="25E705FC"/>
    <w:rsid w:val="26093577"/>
    <w:rsid w:val="26304DF2"/>
    <w:rsid w:val="2BF23E07"/>
    <w:rsid w:val="2D191A38"/>
    <w:rsid w:val="2D6F0EEB"/>
    <w:rsid w:val="2DDD3AA0"/>
    <w:rsid w:val="2E1E1BDD"/>
    <w:rsid w:val="31CC2356"/>
    <w:rsid w:val="322A73F0"/>
    <w:rsid w:val="33157E5C"/>
    <w:rsid w:val="3338022F"/>
    <w:rsid w:val="342866FA"/>
    <w:rsid w:val="34630033"/>
    <w:rsid w:val="35653FF3"/>
    <w:rsid w:val="36971AF6"/>
    <w:rsid w:val="3860038E"/>
    <w:rsid w:val="3A583804"/>
    <w:rsid w:val="3B0C36EE"/>
    <w:rsid w:val="3CE619FC"/>
    <w:rsid w:val="3DA7382A"/>
    <w:rsid w:val="3E47743A"/>
    <w:rsid w:val="3EA43358"/>
    <w:rsid w:val="3F3B4CE0"/>
    <w:rsid w:val="3F810EBB"/>
    <w:rsid w:val="3FBB1912"/>
    <w:rsid w:val="401B60BB"/>
    <w:rsid w:val="40835A4C"/>
    <w:rsid w:val="40F95603"/>
    <w:rsid w:val="419C3085"/>
    <w:rsid w:val="420B2CFA"/>
    <w:rsid w:val="420C5B32"/>
    <w:rsid w:val="42461EC8"/>
    <w:rsid w:val="42521512"/>
    <w:rsid w:val="43EB4803"/>
    <w:rsid w:val="44767BDF"/>
    <w:rsid w:val="4565724F"/>
    <w:rsid w:val="45EF7E5F"/>
    <w:rsid w:val="461375FF"/>
    <w:rsid w:val="463C09B7"/>
    <w:rsid w:val="47FB3B1C"/>
    <w:rsid w:val="485A5411"/>
    <w:rsid w:val="48883EE8"/>
    <w:rsid w:val="48C90DFC"/>
    <w:rsid w:val="48D011AE"/>
    <w:rsid w:val="49FA1891"/>
    <w:rsid w:val="4BC26F8A"/>
    <w:rsid w:val="4D2C59B0"/>
    <w:rsid w:val="4D8465BE"/>
    <w:rsid w:val="50BE2D36"/>
    <w:rsid w:val="51413A5A"/>
    <w:rsid w:val="52770509"/>
    <w:rsid w:val="5354071A"/>
    <w:rsid w:val="53EA44B8"/>
    <w:rsid w:val="54281DF4"/>
    <w:rsid w:val="56D5346F"/>
    <w:rsid w:val="577B43F7"/>
    <w:rsid w:val="58900FC0"/>
    <w:rsid w:val="59353EEB"/>
    <w:rsid w:val="59BD701B"/>
    <w:rsid w:val="5C8B4E57"/>
    <w:rsid w:val="5F994A93"/>
    <w:rsid w:val="60CA77DA"/>
    <w:rsid w:val="60FD3896"/>
    <w:rsid w:val="62A712E9"/>
    <w:rsid w:val="636C452A"/>
    <w:rsid w:val="64564E9C"/>
    <w:rsid w:val="64DD2A65"/>
    <w:rsid w:val="66D73F68"/>
    <w:rsid w:val="677A2BE4"/>
    <w:rsid w:val="68394457"/>
    <w:rsid w:val="690A2603"/>
    <w:rsid w:val="6D05726A"/>
    <w:rsid w:val="6EA36ACE"/>
    <w:rsid w:val="6F422098"/>
    <w:rsid w:val="6F8F4715"/>
    <w:rsid w:val="7062076F"/>
    <w:rsid w:val="711372C6"/>
    <w:rsid w:val="72F16021"/>
    <w:rsid w:val="73EE4C3F"/>
    <w:rsid w:val="74642730"/>
    <w:rsid w:val="75107A43"/>
    <w:rsid w:val="778060F2"/>
    <w:rsid w:val="77CC3FCC"/>
    <w:rsid w:val="79412CA3"/>
    <w:rsid w:val="79B81021"/>
    <w:rsid w:val="7A327907"/>
    <w:rsid w:val="7A5D10B6"/>
    <w:rsid w:val="7B8E01BE"/>
    <w:rsid w:val="7C68679D"/>
    <w:rsid w:val="7CC976C2"/>
    <w:rsid w:val="7EC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1722</Words>
  <Characters>1842</Characters>
  <Lines>12</Lines>
  <Paragraphs>3</Paragraphs>
  <TotalTime>56</TotalTime>
  <ScaleCrop>false</ScaleCrop>
  <LinksUpToDate>false</LinksUpToDate>
  <CharactersWithSpaces>2061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2025-09-30T03:45:21Z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B705DE40BB5D4A8BBD313719AA69D4D1</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