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16D2">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11A26305">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4682B232">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仿宋_GB2312" w:eastAsia="仿宋_GB2312" w:cs="仿宋_GB2312"/>
          <w:bCs/>
          <w:color w:val="auto"/>
          <w:sz w:val="32"/>
          <w:szCs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5</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122</w:t>
      </w:r>
      <w:bookmarkStart w:id="5" w:name="_GoBack"/>
      <w:bookmarkEnd w:id="5"/>
      <w:r>
        <w:rPr>
          <w:rFonts w:hint="eastAsia" w:ascii="Times New Roman" w:hAnsi="Times New Roman" w:eastAsia="仿宋_GB2312" w:cs="Mongolian Baiti"/>
          <w:color w:val="auto"/>
          <w:sz w:val="32"/>
        </w:rPr>
        <w:t>号</w:t>
      </w:r>
      <w:bookmarkEnd w:id="0"/>
    </w:p>
    <w:p w14:paraId="49503691">
      <w:pPr>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4FAF088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bCs/>
          <w:color w:val="auto"/>
          <w:sz w:val="32"/>
          <w:szCs w:val="32"/>
          <w:u w:val="none"/>
          <w:lang w:val="en-US" w:eastAsia="zh-CN"/>
        </w:rPr>
        <w:t>吴美琼</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0D0ED0A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598EFF8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r>
        <w:rPr>
          <w:rFonts w:hint="eastAsia" w:ascii="仿宋_GB2312" w:hAnsi="仿宋_GB2312" w:eastAsia="仿宋_GB2312" w:cs="仿宋_GB2312"/>
          <w:bCs/>
          <w:color w:val="auto"/>
          <w:sz w:val="32"/>
          <w:szCs w:val="32"/>
          <w:u w:val="none"/>
          <w:lang w:val="en-US" w:eastAsia="zh-CN"/>
        </w:rPr>
        <w:t>92450205MA5MRXG3XM</w:t>
      </w:r>
      <w:r>
        <w:rPr>
          <w:rFonts w:hint="eastAsia" w:ascii="仿宋_GB2312" w:hAnsi="仿宋_GB2312" w:eastAsia="仿宋_GB2312" w:cs="仿宋_GB2312"/>
          <w:color w:val="auto"/>
          <w:sz w:val="32"/>
          <w:szCs w:val="32"/>
          <w:u w:val="none"/>
          <w:lang w:val="en-US" w:eastAsia="zh-CN"/>
        </w:rPr>
        <w:t xml:space="preserve">                                </w:t>
      </w:r>
    </w:p>
    <w:p w14:paraId="5B7A815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_GB2312" w:eastAsia="仿宋_GB2312" w:cs="仿宋_GB2312"/>
          <w:bCs/>
          <w:color w:val="auto"/>
          <w:sz w:val="32"/>
          <w:szCs w:val="32"/>
          <w:u w:val="none"/>
          <w:lang w:val="en-US" w:eastAsia="zh-CN"/>
        </w:rPr>
        <w:t>柳州市香兰农贸市场第2、3、4、5号摊位</w:t>
      </w:r>
      <w:r>
        <w:rPr>
          <w:rFonts w:hint="eastAsia" w:ascii="仿宋_GB2312" w:hAnsi="仿宋_GB2312" w:eastAsia="仿宋_GB2312" w:cs="仿宋_GB2312"/>
          <w:color w:val="auto"/>
          <w:sz w:val="32"/>
          <w:szCs w:val="32"/>
          <w:u w:val="none"/>
          <w:lang w:val="en-US" w:eastAsia="zh-CN"/>
        </w:rPr>
        <w:t xml:space="preserve">                                                      </w:t>
      </w:r>
    </w:p>
    <w:p w14:paraId="2B360D2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 xml:space="preserve">                      </w:t>
      </w:r>
    </w:p>
    <w:p w14:paraId="4ED0AE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10288E9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outlineLvl w:val="9"/>
        <w:rPr>
          <w:rFonts w:hint="eastAsia" w:ascii="仿宋_GB2312" w:hAnsi="仿宋_GB2312" w:eastAsia="仿宋_GB2312" w:cs="仿宋_GB2312"/>
          <w:bCs/>
          <w:color w:val="auto"/>
          <w:sz w:val="32"/>
          <w:szCs w:val="32"/>
          <w:u w:val="none"/>
          <w:lang w:val="en-US" w:eastAsia="zh-CN"/>
        </w:rPr>
      </w:pPr>
      <w:bookmarkStart w:id="3" w:name="OLE_LINK8"/>
      <w:r>
        <w:rPr>
          <w:rFonts w:hint="eastAsia" w:ascii="仿宋_GB2312" w:hAnsi="仿宋_GB2312" w:eastAsia="仿宋_GB2312" w:cs="仿宋_GB2312"/>
          <w:bCs/>
          <w:color w:val="auto"/>
          <w:sz w:val="32"/>
          <w:szCs w:val="32"/>
          <w:u w:val="none"/>
          <w:lang w:val="en-US" w:eastAsia="zh-CN"/>
        </w:rPr>
        <w:t>广西博测检测技术服务有限公司于2025年5月19日对当事人当日购进并销售的山药抽样3.3kg进行送检。2025年6月11日，我局收到广西博测检测技术服务有限公司出具的《检验报告》（No：BCSP25050004-144）,检验结论为不合格。我局执法人员于2025年6月16日向当事人送达上述《检验报告》及《食品安全抽样检验结果通知书》，并对当事人经营场所进行现场检查，经检查当事人上述检验不合格批次的山药已无在售及库存。当事人在法定期限内未提出复检申请。我局于2025年6月11日对当事人上述行为进行立案调查。</w:t>
      </w:r>
    </w:p>
    <w:p w14:paraId="4696399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0"/>
          <w:sz w:val="32"/>
          <w:szCs w:val="32"/>
          <w:lang w:val="en-US" w:eastAsia="zh-CN"/>
        </w:rPr>
        <w:t>经查实，</w:t>
      </w:r>
      <w:r>
        <w:rPr>
          <w:rFonts w:hint="eastAsia" w:ascii="仿宋_GB2312" w:hAnsi="仿宋_GB2312" w:eastAsia="仿宋_GB2312" w:cs="仿宋_GB2312"/>
          <w:color w:val="auto"/>
          <w:sz w:val="32"/>
          <w:szCs w:val="32"/>
          <w:u w:val="none"/>
          <w:lang w:val="en-US" w:eastAsia="zh-CN"/>
        </w:rPr>
        <w:t>当事人于2025年5月19日购进7kg山药用于销售，进货价格是*元/kg，销售价格是20元/kg，全部售完，其中3.3kg销售给广西博测检测技术服务有限公司的抽样人员抽样送检。上述批次山药经广西博测检测技术服务有限公司抽样检验，检验结论：经抽样检验，咪鲜胺和咪鲜胺锰盐项目不符合国家标准GB 2763-2021《食品安全国家标准 食品中农药最大残留限量》要求，检验结论为不合格。当事人经营的上述山药货值金额共计140元，营业性收入共计140元。</w:t>
      </w:r>
    </w:p>
    <w:p w14:paraId="0A66F91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当事人采购上述山药时未查验供货商的资质证明，未建立食用农产品进货查验记录，也未保存相关进货票据。</w:t>
      </w:r>
    </w:p>
    <w:p w14:paraId="44614540">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b w:val="0"/>
          <w:bCs w:val="0"/>
          <w:color w:val="auto"/>
        </w:rPr>
      </w:pPr>
      <w:r>
        <w:rPr>
          <w:rFonts w:hint="eastAsia" w:ascii="仿宋_GB2312" w:hAnsi="仿宋_GB2312" w:eastAsia="仿宋_GB2312" w:cs="仿宋_GB2312"/>
          <w:b w:val="0"/>
          <w:bCs w:val="0"/>
          <w:color w:val="auto"/>
          <w:sz w:val="32"/>
          <w:szCs w:val="32"/>
          <w:u w:val="none"/>
        </w:rPr>
        <w:t>上述事实，主要有以下证据证明：</w:t>
      </w:r>
    </w:p>
    <w:p w14:paraId="6416694C">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1.当事人的《营业执照》复印件1份，经营者吴美琼身份证复印件1份，证明当事人的主体资格及经营者的身份信息。</w:t>
      </w:r>
    </w:p>
    <w:p w14:paraId="2F5F2005">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2.《现场笔录》1份，《询问笔录》1份，《检验报告》1份，《食品安全抽样检验结果通知书》1份，《证据提取单》</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份，证明当事人存在经营咪鲜胺和咪鲜胺锰盐项目不符合GB 2763-2021《食品安全国家标准 食品中农药最大残留限量》要求的山药及在采购未查验供货商的资质</w:t>
      </w:r>
      <w:bookmarkStart w:id="4" w:name="OLE_LINK1"/>
      <w:r>
        <w:rPr>
          <w:rFonts w:hint="eastAsia" w:ascii="仿宋_GB2312" w:hAnsi="仿宋_GB2312" w:eastAsia="仿宋_GB2312" w:cs="仿宋_GB2312"/>
          <w:color w:val="auto"/>
          <w:sz w:val="32"/>
          <w:szCs w:val="32"/>
          <w:u w:val="none"/>
          <w:lang w:val="en-US" w:eastAsia="zh-CN"/>
        </w:rPr>
        <w:t>证明</w:t>
      </w:r>
      <w:bookmarkEnd w:id="4"/>
      <w:r>
        <w:rPr>
          <w:rFonts w:hint="eastAsia" w:ascii="仿宋_GB2312" w:hAnsi="仿宋_GB2312" w:eastAsia="仿宋_GB2312" w:cs="仿宋_GB2312"/>
          <w:b w:val="0"/>
          <w:bCs w:val="0"/>
          <w:color w:val="auto"/>
          <w:sz w:val="32"/>
          <w:szCs w:val="32"/>
          <w:u w:val="none"/>
        </w:rPr>
        <w:t>，未建立食用农产品进货查验记录</w:t>
      </w:r>
      <w:r>
        <w:rPr>
          <w:rFonts w:hint="eastAsia" w:ascii="仿宋_GB2312" w:hAnsi="仿宋_GB2312" w:eastAsia="仿宋_GB2312" w:cs="仿宋_GB2312"/>
          <w:color w:val="auto"/>
          <w:sz w:val="32"/>
          <w:szCs w:val="32"/>
          <w:u w:val="none"/>
          <w:lang w:val="en-US" w:eastAsia="zh-CN"/>
        </w:rPr>
        <w:t>，也未保存相关进货票据</w:t>
      </w:r>
      <w:r>
        <w:rPr>
          <w:rFonts w:hint="eastAsia" w:ascii="仿宋_GB2312" w:hAnsi="仿宋_GB2312" w:eastAsia="仿宋_GB2312" w:cs="仿宋_GB2312"/>
          <w:b w:val="0"/>
          <w:bCs w:val="0"/>
          <w:color w:val="auto"/>
          <w:sz w:val="32"/>
          <w:szCs w:val="32"/>
          <w:u w:val="none"/>
        </w:rPr>
        <w:t>的事实。</w:t>
      </w:r>
    </w:p>
    <w:p w14:paraId="1D854ED0">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以上证据均由经营者签名认可</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 xml:space="preserve"> </w:t>
      </w:r>
    </w:p>
    <w:p w14:paraId="13294ACB">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color w:val="auto"/>
          <w:lang w:val="en-US" w:eastAsia="zh-CN"/>
        </w:rPr>
      </w:pPr>
      <w:r>
        <w:rPr>
          <w:rFonts w:hint="eastAsia" w:ascii="仿宋_GB2312" w:hAnsi="仿宋_GB2312" w:eastAsia="仿宋_GB2312" w:cs="仿宋_GB2312"/>
          <w:b w:val="0"/>
          <w:bCs w:val="0"/>
          <w:color w:val="auto"/>
          <w:sz w:val="32"/>
          <w:szCs w:val="32"/>
          <w:u w:val="none"/>
          <w:lang w:eastAsia="zh-CN"/>
        </w:rPr>
        <w:t>我局于202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年</w:t>
      </w:r>
      <w:r>
        <w:rPr>
          <w:rFonts w:hint="eastAsia" w:ascii="仿宋_GB2312" w:hAnsi="仿宋_GB2312" w:eastAsia="仿宋_GB2312" w:cs="仿宋_GB2312"/>
          <w:b w:val="0"/>
          <w:bCs w:val="0"/>
          <w:color w:val="auto"/>
          <w:sz w:val="32"/>
          <w:szCs w:val="32"/>
          <w:u w:val="none"/>
          <w:lang w:val="en-US" w:eastAsia="zh-CN"/>
        </w:rPr>
        <w:t>8</w:t>
      </w:r>
      <w:r>
        <w:rPr>
          <w:rFonts w:hint="eastAsia" w:ascii="仿宋_GB2312" w:hAnsi="仿宋_GB2312" w:eastAsia="仿宋_GB2312" w:cs="仿宋_GB2312"/>
          <w:b w:val="0"/>
          <w:bCs w:val="0"/>
          <w:color w:val="auto"/>
          <w:sz w:val="32"/>
          <w:szCs w:val="32"/>
          <w:u w:val="none"/>
          <w:lang w:eastAsia="zh-CN"/>
        </w:rPr>
        <w:t>月</w:t>
      </w:r>
      <w:r>
        <w:rPr>
          <w:rFonts w:hint="eastAsia" w:ascii="仿宋_GB2312" w:hAnsi="仿宋_GB2312" w:eastAsia="仿宋_GB2312" w:cs="仿宋_GB2312"/>
          <w:b w:val="0"/>
          <w:bCs w:val="0"/>
          <w:color w:val="auto"/>
          <w:sz w:val="32"/>
          <w:szCs w:val="32"/>
          <w:u w:val="none"/>
          <w:lang w:val="en-US" w:eastAsia="zh-CN"/>
        </w:rPr>
        <w:t>28</w:t>
      </w:r>
      <w:r>
        <w:rPr>
          <w:rFonts w:hint="eastAsia" w:ascii="仿宋_GB2312" w:hAnsi="仿宋_GB2312" w:eastAsia="仿宋_GB2312" w:cs="仿宋_GB2312"/>
          <w:b w:val="0"/>
          <w:bCs w:val="0"/>
          <w:color w:val="auto"/>
          <w:sz w:val="32"/>
          <w:szCs w:val="32"/>
          <w:u w:val="none"/>
          <w:lang w:eastAsia="zh-CN"/>
        </w:rPr>
        <w:t>日向当事人送达了《行政处罚告知书》（柳北市监罚告〔202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139</w:t>
      </w:r>
      <w:r>
        <w:rPr>
          <w:rFonts w:hint="eastAsia" w:ascii="仿宋_GB2312" w:hAnsi="仿宋_GB2312" w:eastAsia="仿宋_GB2312" w:cs="仿宋_GB2312"/>
          <w:b w:val="0"/>
          <w:bCs w:val="0"/>
          <w:color w:val="auto"/>
          <w:sz w:val="32"/>
          <w:szCs w:val="32"/>
          <w:u w:val="none"/>
          <w:lang w:eastAsia="zh-CN"/>
        </w:rPr>
        <w:t>号），告知当事人我局拟</w:t>
      </w:r>
      <w:r>
        <w:rPr>
          <w:rFonts w:hint="eastAsia" w:ascii="仿宋_GB2312" w:hAnsi="仿宋_GB2312" w:eastAsia="仿宋_GB2312" w:cs="仿宋_GB2312"/>
          <w:b w:val="0"/>
          <w:bCs w:val="0"/>
          <w:color w:val="auto"/>
          <w:sz w:val="32"/>
          <w:szCs w:val="32"/>
          <w:u w:val="none"/>
          <w:lang w:val="en-US" w:eastAsia="zh-CN"/>
        </w:rPr>
        <w:t>作出</w:t>
      </w:r>
      <w:r>
        <w:rPr>
          <w:rFonts w:hint="eastAsia" w:ascii="仿宋_GB2312" w:hAnsi="仿宋_GB2312" w:eastAsia="仿宋_GB2312" w:cs="仿宋_GB2312"/>
          <w:b w:val="0"/>
          <w:bCs w:val="0"/>
          <w:color w:val="auto"/>
          <w:sz w:val="32"/>
          <w:szCs w:val="32"/>
          <w:u w:val="none"/>
          <w:lang w:eastAsia="zh-CN"/>
        </w:rPr>
        <w:t>行政处罚的事实、理由、依据、处罚内容及享有的权利。当</w:t>
      </w:r>
      <w:r>
        <w:rPr>
          <w:rFonts w:hint="eastAsia" w:ascii="仿宋_GB2312" w:hAnsi="仿宋_GB2312" w:eastAsia="仿宋_GB2312" w:cs="仿宋_GB2312"/>
          <w:color w:val="auto"/>
          <w:sz w:val="32"/>
          <w:szCs w:val="32"/>
          <w:u w:val="none"/>
          <w:lang w:eastAsia="zh-CN"/>
        </w:rPr>
        <w:t xml:space="preserve">事人在法定期限内未提出陈述、申辩。   </w:t>
      </w:r>
      <w:r>
        <w:rPr>
          <w:rFonts w:hint="eastAsia" w:ascii="仿宋_GB2312" w:hAnsi="仿宋_GB2312" w:eastAsia="仿宋_GB2312" w:cs="仿宋_GB2312"/>
          <w:color w:val="auto"/>
          <w:sz w:val="32"/>
          <w:szCs w:val="32"/>
          <w:u w:val="none"/>
        </w:rPr>
        <w:t xml:space="preserve">   </w:t>
      </w:r>
    </w:p>
    <w:p w14:paraId="2EA0E38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当事人经营上述山药的行为，违反了《中华人民共和国食品安全法》第三十四条第一款第二项的规定，属于经营农药残留含量超过食品安全标准限量的食品的行为。上述批次山药货值金额为140元，违法所得为140元。</w:t>
      </w:r>
    </w:p>
    <w:p w14:paraId="4F18F1D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当事人采购上述山药时未查验供货商资质</w:t>
      </w:r>
      <w:r>
        <w:rPr>
          <w:rFonts w:hint="eastAsia" w:ascii="仿宋_GB2312" w:hAnsi="仿宋_GB2312" w:eastAsia="仿宋_GB2312" w:cs="仿宋_GB2312"/>
          <w:color w:val="auto"/>
          <w:sz w:val="32"/>
          <w:szCs w:val="32"/>
          <w:u w:val="none"/>
          <w:lang w:val="en-US" w:eastAsia="zh-CN"/>
        </w:rPr>
        <w:t>证明</w:t>
      </w:r>
      <w:r>
        <w:rPr>
          <w:rFonts w:hint="eastAsia" w:ascii="仿宋_GB2312" w:hAnsi="仿宋_GB2312" w:eastAsia="仿宋_GB2312" w:cs="仿宋_GB2312"/>
          <w:color w:val="auto"/>
          <w:sz w:val="32"/>
          <w:szCs w:val="32"/>
          <w:u w:val="none"/>
          <w:lang w:eastAsia="zh-CN"/>
        </w:rPr>
        <w:t>的行为，违反了《中华人民共和国食品安全法》第五十三条第一款的规定，属于未按规定履行进货查验义务的行为。</w:t>
      </w:r>
    </w:p>
    <w:p w14:paraId="5D96ACE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当事人采购上述山药时未建立食用农产品进货查验记录，也未保存相关进货票据的行为，违反了《中华人民共和国食品安全法》第六十五条的规定，属于未按规定建立食用农产品进货查验记录制度的行为。</w:t>
      </w:r>
    </w:p>
    <w:p w14:paraId="6628C92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的经营场所为柳州市香兰农贸市场内的固定摊点，根据《广西壮族自治区食品安全条例》第八十五条第二款的规定，当事人属于食品摊贩，因此当事人的上述行为构成《广西壮族自治区食品小作坊小餐饮和食品摊贩管理条例》第二十八条第一款第五项规定的违法行为。</w:t>
      </w:r>
    </w:p>
    <w:bookmarkEnd w:id="3"/>
    <w:p w14:paraId="0D5AAB9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依据《中华人民共和国食品安全法》第一百二十七条、《广西壮族自治区食品小作坊小餐饮和食品摊贩管理条例》第四十三条和《中华人民共和国行政处罚法》第二十八条第二款的规定，</w:t>
      </w:r>
      <w:r>
        <w:rPr>
          <w:rFonts w:hint="eastAsia" w:ascii="仿宋_GB2312" w:hAnsi="仿宋_GB2312" w:eastAsia="仿宋_GB2312" w:cs="仿宋_GB2312"/>
          <w:color w:val="auto"/>
          <w:sz w:val="32"/>
          <w:szCs w:val="32"/>
          <w:u w:val="none"/>
          <w:lang w:eastAsia="zh-CN"/>
        </w:rPr>
        <w:t>我局决定</w:t>
      </w:r>
      <w:r>
        <w:rPr>
          <w:rFonts w:hint="eastAsia" w:ascii="仿宋_GB2312" w:hAnsi="仿宋_GB2312" w:eastAsia="仿宋_GB2312" w:cs="仿宋_GB2312"/>
          <w:color w:val="auto"/>
          <w:sz w:val="32"/>
          <w:szCs w:val="32"/>
          <w:u w:val="none"/>
        </w:rPr>
        <w:t>责令当事人立即改正上述违法行为，并给予当事人如下行政处罚：</w:t>
      </w:r>
    </w:p>
    <w:p w14:paraId="08738A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1.警告；</w:t>
      </w:r>
    </w:p>
    <w:p w14:paraId="370738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2.没收违法所得140元。   </w:t>
      </w:r>
      <w:r>
        <w:rPr>
          <w:rFonts w:hint="eastAsia" w:ascii="仿宋_GB2312" w:hAnsi="仿宋_GB2312" w:eastAsia="仿宋_GB2312" w:cs="仿宋_GB2312"/>
          <w:color w:val="auto"/>
          <w:sz w:val="32"/>
          <w:szCs w:val="32"/>
          <w:u w:val="none"/>
          <w:lang w:eastAsia="zh-CN"/>
        </w:rPr>
        <w:t xml:space="preserve">        </w:t>
      </w:r>
    </w:p>
    <w:p w14:paraId="563257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w:t>
      </w:r>
      <w:r>
        <w:rPr>
          <w:rFonts w:hint="eastAsia" w:ascii="仿宋_GB2312" w:hAnsi="仿宋_GB2312" w:eastAsia="仿宋_GB2312" w:cs="仿宋_GB2312"/>
          <w:color w:val="auto"/>
          <w:sz w:val="32"/>
          <w:szCs w:val="32"/>
          <w:lang w:eastAsia="zh-CN"/>
        </w:rPr>
        <w:t>上述款项</w:t>
      </w:r>
      <w:r>
        <w:rPr>
          <w:rFonts w:hint="eastAsia" w:ascii="仿宋_GB2312" w:hAnsi="仿宋_GB2312" w:eastAsia="仿宋_GB2312" w:cs="仿宋_GB2312"/>
          <w:color w:val="auto"/>
          <w:kern w:val="0"/>
          <w:sz w:val="32"/>
          <w:szCs w:val="32"/>
          <w:u w:val="none"/>
          <w:lang w:val="en-US" w:eastAsia="zh-CN" w:bidi="ar"/>
        </w:rPr>
        <w:t>。逾期不缴纳的，依据《中华人民共和国行政处罚法》第七十二条的规定，我局将依法申请人民法院强制执行。</w:t>
      </w:r>
      <w:r>
        <w:rPr>
          <w:rFonts w:hint="eastAsia" w:ascii="仿宋_GB2312" w:hAnsi="仿宋_GB2312" w:eastAsia="仿宋_GB2312" w:cs="仿宋_GB2312"/>
          <w:color w:val="auto"/>
          <w:sz w:val="32"/>
          <w:szCs w:val="32"/>
          <w:u w:val="none"/>
          <w:lang w:eastAsia="zh-CN"/>
        </w:rPr>
        <w:t xml:space="preserve">                       </w:t>
      </w:r>
    </w:p>
    <w:p w14:paraId="0518C3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3F2F98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467CE2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eastAsia="zh-CN"/>
        </w:rPr>
      </w:pPr>
    </w:p>
    <w:p w14:paraId="16693BDC">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414D6A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日</w:t>
      </w:r>
    </w:p>
    <w:p w14:paraId="176C28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auto"/>
          <w:kern w:val="2"/>
          <w:sz w:val="32"/>
          <w:szCs w:val="32"/>
          <w:lang w:val="en-US" w:eastAsia="zh-CN" w:bidi="ar-SA"/>
        </w:rPr>
      </w:pPr>
    </w:p>
    <w:p w14:paraId="27B22CD6">
      <w:pPr>
        <w:pStyle w:val="2"/>
        <w:keepNext w:val="0"/>
        <w:keepLines w:val="0"/>
        <w:pageBreakBefore w:val="0"/>
        <w:kinsoku/>
        <w:wordWrap/>
        <w:overflowPunct/>
        <w:topLinePunct w:val="0"/>
        <w:bidi w:val="0"/>
        <w:snapToGrid/>
        <w:spacing w:line="480" w:lineRule="exact"/>
        <w:textAlignment w:val="auto"/>
        <w:rPr>
          <w:rFonts w:hint="eastAsia" w:ascii="黑体" w:hAnsi="黑体" w:eastAsia="黑体" w:cs="黑体"/>
          <w:b w:val="0"/>
          <w:bCs w:val="0"/>
          <w:color w:val="auto"/>
          <w:kern w:val="2"/>
          <w:sz w:val="32"/>
          <w:szCs w:val="32"/>
          <w:lang w:val="en-US" w:eastAsia="zh-CN" w:bidi="ar-SA"/>
        </w:rPr>
      </w:pPr>
    </w:p>
    <w:p w14:paraId="6FC35F41">
      <w:pPr>
        <w:pStyle w:val="2"/>
        <w:keepNext w:val="0"/>
        <w:keepLines w:val="0"/>
        <w:pageBreakBefore w:val="0"/>
        <w:kinsoku/>
        <w:wordWrap/>
        <w:overflowPunct/>
        <w:topLinePunct w:val="0"/>
        <w:bidi w:val="0"/>
        <w:snapToGrid/>
        <w:spacing w:line="480" w:lineRule="exact"/>
        <w:textAlignment w:val="auto"/>
        <w:rPr>
          <w:rFonts w:hint="eastAsia" w:ascii="黑体" w:hAnsi="黑体" w:eastAsia="黑体" w:cs="黑体"/>
          <w:b w:val="0"/>
          <w:bCs w:val="0"/>
          <w:color w:val="auto"/>
          <w:kern w:val="2"/>
          <w:sz w:val="32"/>
          <w:szCs w:val="32"/>
          <w:lang w:val="en-US" w:eastAsia="zh-CN" w:bidi="ar-SA"/>
        </w:rPr>
      </w:pPr>
    </w:p>
    <w:p w14:paraId="3B092AA1">
      <w:pPr>
        <w:pStyle w:val="2"/>
        <w:keepNext w:val="0"/>
        <w:keepLines w:val="0"/>
        <w:pageBreakBefore w:val="0"/>
        <w:kinsoku/>
        <w:wordWrap/>
        <w:overflowPunct/>
        <w:topLinePunct w:val="0"/>
        <w:bidi w:val="0"/>
        <w:snapToGrid/>
        <w:spacing w:line="480" w:lineRule="exact"/>
        <w:textAlignment w:val="auto"/>
        <w:rPr>
          <w:rFonts w:hint="eastAsia" w:ascii="黑体" w:hAnsi="黑体" w:eastAsia="黑体" w:cs="黑体"/>
          <w:b w:val="0"/>
          <w:bCs w:val="0"/>
          <w:color w:val="auto"/>
          <w:kern w:val="2"/>
          <w:sz w:val="32"/>
          <w:szCs w:val="32"/>
          <w:lang w:val="en-US" w:eastAsia="zh-CN" w:bidi="ar-SA"/>
        </w:rPr>
      </w:pPr>
    </w:p>
    <w:p w14:paraId="2F3100CE">
      <w:pPr>
        <w:pStyle w:val="2"/>
        <w:keepNext w:val="0"/>
        <w:keepLines w:val="0"/>
        <w:pageBreakBefore w:val="0"/>
        <w:kinsoku/>
        <w:wordWrap/>
        <w:overflowPunct/>
        <w:topLinePunct w:val="0"/>
        <w:bidi w:val="0"/>
        <w:snapToGrid/>
        <w:spacing w:line="480" w:lineRule="exact"/>
        <w:textAlignment w:val="auto"/>
        <w:rPr>
          <w:rFonts w:hint="eastAsia" w:ascii="黑体" w:hAnsi="黑体" w:eastAsia="黑体" w:cs="黑体"/>
          <w:b w:val="0"/>
          <w:bCs w:val="0"/>
          <w:color w:val="auto"/>
          <w:kern w:val="2"/>
          <w:sz w:val="32"/>
          <w:szCs w:val="32"/>
          <w:lang w:val="en-US" w:eastAsia="zh-CN" w:bidi="ar-SA"/>
        </w:rPr>
      </w:pPr>
    </w:p>
    <w:bookmarkEnd w:id="1"/>
    <w:p w14:paraId="368ECE76">
      <w:pPr>
        <w:keepNext w:val="0"/>
        <w:keepLines w:val="0"/>
        <w:pageBreakBefore w:val="0"/>
        <w:widowControl w:val="0"/>
        <w:kinsoku/>
        <w:wordWrap/>
        <w:overflowPunct/>
        <w:topLinePunct w:val="0"/>
        <w:autoSpaceDE/>
        <w:autoSpaceDN/>
        <w:bidi w:val="0"/>
        <w:adjustRightInd/>
        <w:snapToGrid/>
        <w:spacing w:line="48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1F701D44">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49" w:bottom="1417" w:left="12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1FB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B2B2AA">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05B2B2AA">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0D9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16AB5"/>
    <w:rsid w:val="037D5B64"/>
    <w:rsid w:val="04A44C1C"/>
    <w:rsid w:val="050C66E8"/>
    <w:rsid w:val="05AA3F3C"/>
    <w:rsid w:val="05C74A0B"/>
    <w:rsid w:val="061255AF"/>
    <w:rsid w:val="06E4681D"/>
    <w:rsid w:val="08B700B5"/>
    <w:rsid w:val="09183D69"/>
    <w:rsid w:val="099E38BF"/>
    <w:rsid w:val="09FC73DF"/>
    <w:rsid w:val="0A3930ED"/>
    <w:rsid w:val="0AEF28D0"/>
    <w:rsid w:val="0B200F4F"/>
    <w:rsid w:val="0B6C5804"/>
    <w:rsid w:val="0B81776F"/>
    <w:rsid w:val="0BA13F3D"/>
    <w:rsid w:val="0BAD4BBE"/>
    <w:rsid w:val="0D916539"/>
    <w:rsid w:val="0D931E3E"/>
    <w:rsid w:val="0E322633"/>
    <w:rsid w:val="0EEA79A9"/>
    <w:rsid w:val="0F100C45"/>
    <w:rsid w:val="0F2133BE"/>
    <w:rsid w:val="0F610C24"/>
    <w:rsid w:val="10A87B1C"/>
    <w:rsid w:val="113B358D"/>
    <w:rsid w:val="11D70154"/>
    <w:rsid w:val="13250ADD"/>
    <w:rsid w:val="14401311"/>
    <w:rsid w:val="16A110D6"/>
    <w:rsid w:val="17154EC8"/>
    <w:rsid w:val="195F080A"/>
    <w:rsid w:val="1B0320C3"/>
    <w:rsid w:val="1B6D18C5"/>
    <w:rsid w:val="1BB6133F"/>
    <w:rsid w:val="1C072701"/>
    <w:rsid w:val="1D680EB6"/>
    <w:rsid w:val="1FBA6F24"/>
    <w:rsid w:val="22384D53"/>
    <w:rsid w:val="226D7D7D"/>
    <w:rsid w:val="22C11C23"/>
    <w:rsid w:val="234E5EC7"/>
    <w:rsid w:val="24776664"/>
    <w:rsid w:val="248E73BE"/>
    <w:rsid w:val="24D9609E"/>
    <w:rsid w:val="24F05029"/>
    <w:rsid w:val="255D1DDA"/>
    <w:rsid w:val="25D02FFD"/>
    <w:rsid w:val="26093577"/>
    <w:rsid w:val="26304DF2"/>
    <w:rsid w:val="26D73D12"/>
    <w:rsid w:val="2886390B"/>
    <w:rsid w:val="2BF23E07"/>
    <w:rsid w:val="2C7B4F07"/>
    <w:rsid w:val="2D191A38"/>
    <w:rsid w:val="2D6F0EEB"/>
    <w:rsid w:val="2DDD3AA0"/>
    <w:rsid w:val="2E1E1BDD"/>
    <w:rsid w:val="2F4E0DAB"/>
    <w:rsid w:val="31CC2356"/>
    <w:rsid w:val="322A73F0"/>
    <w:rsid w:val="33157E5C"/>
    <w:rsid w:val="3338022F"/>
    <w:rsid w:val="342866FA"/>
    <w:rsid w:val="34630033"/>
    <w:rsid w:val="35653FF3"/>
    <w:rsid w:val="36971AF6"/>
    <w:rsid w:val="3860038E"/>
    <w:rsid w:val="3A583804"/>
    <w:rsid w:val="3CE619FC"/>
    <w:rsid w:val="3D430E91"/>
    <w:rsid w:val="3DA7382A"/>
    <w:rsid w:val="3E47743A"/>
    <w:rsid w:val="3EA43358"/>
    <w:rsid w:val="3F3B4CE0"/>
    <w:rsid w:val="3F810EBB"/>
    <w:rsid w:val="3FBB1912"/>
    <w:rsid w:val="3FE366ED"/>
    <w:rsid w:val="401B60BB"/>
    <w:rsid w:val="40314B39"/>
    <w:rsid w:val="40835A4C"/>
    <w:rsid w:val="419C3085"/>
    <w:rsid w:val="420B2CFA"/>
    <w:rsid w:val="42461EC8"/>
    <w:rsid w:val="42521512"/>
    <w:rsid w:val="43EB4803"/>
    <w:rsid w:val="44767BDF"/>
    <w:rsid w:val="4565724F"/>
    <w:rsid w:val="45EF7E5F"/>
    <w:rsid w:val="461375FF"/>
    <w:rsid w:val="463C09B7"/>
    <w:rsid w:val="47FB3B1C"/>
    <w:rsid w:val="485A5411"/>
    <w:rsid w:val="48883EE8"/>
    <w:rsid w:val="499D11D6"/>
    <w:rsid w:val="49FA1891"/>
    <w:rsid w:val="4BC26F8A"/>
    <w:rsid w:val="4D2C59B0"/>
    <w:rsid w:val="4D8465BE"/>
    <w:rsid w:val="4DA45EC9"/>
    <w:rsid w:val="50BE2D36"/>
    <w:rsid w:val="51413A5A"/>
    <w:rsid w:val="52770509"/>
    <w:rsid w:val="52E54344"/>
    <w:rsid w:val="5354071A"/>
    <w:rsid w:val="53EA44B8"/>
    <w:rsid w:val="54281DF4"/>
    <w:rsid w:val="56D5346F"/>
    <w:rsid w:val="577B43F7"/>
    <w:rsid w:val="58900FC0"/>
    <w:rsid w:val="59353EEB"/>
    <w:rsid w:val="59BD701B"/>
    <w:rsid w:val="5C8B4E57"/>
    <w:rsid w:val="5D0767F0"/>
    <w:rsid w:val="5D292B67"/>
    <w:rsid w:val="5F994A93"/>
    <w:rsid w:val="60CA77DA"/>
    <w:rsid w:val="60FD3896"/>
    <w:rsid w:val="62A712E9"/>
    <w:rsid w:val="636C452A"/>
    <w:rsid w:val="64564E9C"/>
    <w:rsid w:val="64DD2A65"/>
    <w:rsid w:val="66D73F68"/>
    <w:rsid w:val="677A2BE4"/>
    <w:rsid w:val="68394457"/>
    <w:rsid w:val="690A2603"/>
    <w:rsid w:val="6A5247FE"/>
    <w:rsid w:val="6D05726A"/>
    <w:rsid w:val="6E4F3D89"/>
    <w:rsid w:val="6EA36ACE"/>
    <w:rsid w:val="6EFA1CD9"/>
    <w:rsid w:val="6F422098"/>
    <w:rsid w:val="6F426EAF"/>
    <w:rsid w:val="6F80797E"/>
    <w:rsid w:val="6F8F4715"/>
    <w:rsid w:val="7062076F"/>
    <w:rsid w:val="711372C6"/>
    <w:rsid w:val="729A6034"/>
    <w:rsid w:val="72F16021"/>
    <w:rsid w:val="73EE4C3F"/>
    <w:rsid w:val="75107A43"/>
    <w:rsid w:val="757E1ED2"/>
    <w:rsid w:val="778060F2"/>
    <w:rsid w:val="79170340"/>
    <w:rsid w:val="79412CA3"/>
    <w:rsid w:val="79B81021"/>
    <w:rsid w:val="79EB7161"/>
    <w:rsid w:val="7A327907"/>
    <w:rsid w:val="7A5D10B6"/>
    <w:rsid w:val="7B8E01BE"/>
    <w:rsid w:val="7C68679D"/>
    <w:rsid w:val="7CC976C2"/>
    <w:rsid w:val="7ECE3519"/>
    <w:rsid w:val="7FAE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1673</Words>
  <Characters>1788</Characters>
  <Lines>12</Lines>
  <Paragraphs>3</Paragraphs>
  <TotalTime>26</TotalTime>
  <ScaleCrop>false</ScaleCrop>
  <LinksUpToDate>false</LinksUpToDate>
  <CharactersWithSpaces>2015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2025-09-05T03:43:56Z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9EC54D10B8EC4263B2432B4669947DF8_13</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