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E851F">
      <w:pPr>
        <w:spacing w:line="560" w:lineRule="exact"/>
        <w:jc w:val="center"/>
        <w:outlineLvl w:val="0"/>
        <w:rPr>
          <w:rFonts w:hint="eastAsia" w:ascii="方正小标宋简体" w:hAnsi="方正小标宋简体" w:eastAsia="方正小标宋简体" w:cs="方正小标宋简体"/>
          <w:color w:val="auto"/>
          <w:sz w:val="44"/>
          <w:szCs w:val="44"/>
        </w:rPr>
      </w:pPr>
      <w:bookmarkStart w:id="0" w:name="_Toc76683363"/>
      <w:bookmarkStart w:id="1" w:name="_Toc27865"/>
      <w:r>
        <w:rPr>
          <w:rFonts w:hint="eastAsia" w:ascii="方正小标宋简体" w:hAnsi="方正小标宋简体" w:eastAsia="方正小标宋简体" w:cs="方正小标宋简体"/>
          <w:bCs/>
          <w:color w:val="auto"/>
          <w:sz w:val="44"/>
          <w:szCs w:val="44"/>
          <w:lang w:eastAsia="zh-CN"/>
        </w:rPr>
        <w:t>柳州市柳北区</w:t>
      </w:r>
      <w:r>
        <w:rPr>
          <w:rFonts w:hint="eastAsia" w:ascii="方正小标宋简体" w:hAnsi="方正小标宋简体" w:eastAsia="方正小标宋简体" w:cs="方正小标宋简体"/>
          <w:bCs/>
          <w:color w:val="auto"/>
          <w:sz w:val="44"/>
          <w:szCs w:val="44"/>
        </w:rPr>
        <w:t>市场监督管理局</w:t>
      </w:r>
      <w:bookmarkEnd w:id="0"/>
      <w:bookmarkEnd w:id="1"/>
    </w:p>
    <w:p w14:paraId="11DE8724">
      <w:pPr>
        <w:spacing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rPr>
        <w:t>行政处罚决定书</w:t>
      </w:r>
      <w:bookmarkEnd w:id="2"/>
    </w:p>
    <w:p w14:paraId="65E8099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仿宋_GB2312" w:eastAsia="仿宋_GB2312" w:cs="仿宋_GB2312"/>
          <w:bCs/>
          <w:color w:val="auto"/>
          <w:sz w:val="32"/>
          <w:szCs w:val="32"/>
          <w:lang w:eastAsia="zh-CN"/>
        </w:rPr>
        <w:t>柳北</w:t>
      </w:r>
      <w:r>
        <w:rPr>
          <w:rFonts w:hint="eastAsia" w:ascii="Times New Roman" w:hAnsi="仿宋_GB2312" w:eastAsia="仿宋_GB2312" w:cs="仿宋_GB2312"/>
          <w:bCs/>
          <w:color w:val="auto"/>
          <w:sz w:val="32"/>
          <w:szCs w:val="32"/>
        </w:rPr>
        <w:t>市监处罚〔</w:t>
      </w:r>
      <w:r>
        <w:rPr>
          <w:rFonts w:hint="eastAsia" w:ascii="Times New Roman" w:hAnsi="Times New Roman" w:eastAsia="仿宋_GB2312" w:cs="仿宋_GB2312"/>
          <w:bCs/>
          <w:color w:val="auto"/>
          <w:sz w:val="32"/>
          <w:szCs w:val="32"/>
          <w:u w:val="none"/>
          <w:lang w:val="en-US" w:eastAsia="zh-CN"/>
        </w:rPr>
        <w:t>2025</w:t>
      </w:r>
      <w:r>
        <w:rPr>
          <w:rFonts w:hint="eastAsia" w:ascii="Times New Roman" w:hAnsi="仿宋_GB2312" w:eastAsia="仿宋_GB2312" w:cs="仿宋_GB2312"/>
          <w:bCs/>
          <w:color w:val="auto"/>
          <w:sz w:val="32"/>
          <w:szCs w:val="32"/>
        </w:rPr>
        <w:t>〕</w:t>
      </w:r>
      <w:r>
        <w:rPr>
          <w:rFonts w:hint="eastAsia" w:ascii="Times New Roman" w:hAnsi="Times New Roman" w:eastAsia="仿宋_GB2312" w:cs="仿宋_GB2312"/>
          <w:bCs/>
          <w:color w:val="auto"/>
          <w:sz w:val="32"/>
          <w:szCs w:val="32"/>
          <w:u w:val="none"/>
          <w:lang w:val="en-US" w:eastAsia="zh-CN"/>
        </w:rPr>
        <w:t>128</w:t>
      </w:r>
      <w:r>
        <w:rPr>
          <w:rFonts w:hint="eastAsia" w:ascii="Times New Roman" w:hAnsi="仿宋_GB2312" w:eastAsia="仿宋_GB2312" w:cs="仿宋_GB2312"/>
          <w:bCs/>
          <w:color w:val="auto"/>
          <w:sz w:val="32"/>
          <w:szCs w:val="32"/>
        </w:rPr>
        <w:t>号</w:t>
      </w:r>
    </w:p>
    <w:p w14:paraId="5B9B3C71">
      <w:pPr>
        <w:keepNext w:val="0"/>
        <w:keepLines w:val="0"/>
        <w:pageBreakBefore w:val="0"/>
        <w:widowControl/>
        <w:kinsoku/>
        <w:wordWrap/>
        <w:overflowPunct/>
        <w:topLinePunct w:val="0"/>
        <w:bidi w:val="0"/>
        <w:snapToGrid w:val="0"/>
        <w:spacing w:line="500" w:lineRule="exact"/>
        <w:ind w:right="55" w:firstLine="5440" w:firstLineChars="1700"/>
        <w:textAlignment w:val="auto"/>
        <w:rPr>
          <w:rFonts w:hint="eastAsia" w:ascii="Times New Roman" w:hAnsi="Times New Roman" w:eastAsia="仿宋_GB2312" w:cs="Mongolian Baiti"/>
          <w:color w:val="auto"/>
          <w:sz w:val="32"/>
          <w:szCs w:val="32"/>
        </w:rPr>
      </w:pPr>
      <w:r>
        <w:rPr>
          <w:rFonts w:hint="eastAsia" w:ascii="Times New Roman" w:hAnsi="Times New Roman" w:eastAsia="仿宋_GB2312" w:cs="Mongolian Baiti"/>
          <w:color w:val="auto"/>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51043C59">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51043C59">
                      <w:pPr>
                        <w:wordWrap w:val="0"/>
                        <w:rPr>
                          <w:rFonts w:ascii="宋体" w:hAnsi="宋体"/>
                          <w:sz w:val="20"/>
                          <w:szCs w:val="20"/>
                        </w:rPr>
                      </w:pPr>
                    </w:p>
                  </w:txbxContent>
                </v:textbox>
              </v:shape>
            </w:pict>
          </mc:Fallback>
        </mc:AlternateContent>
      </w:r>
    </w:p>
    <w:p w14:paraId="0489AE6D">
      <w:pPr>
        <w:keepNext w:val="0"/>
        <w:keepLines w:val="0"/>
        <w:pageBreakBefore w:val="0"/>
        <w:widowControl w:val="0"/>
        <w:kinsoku/>
        <w:wordWrap/>
        <w:overflowPunct/>
        <w:topLinePunct w:val="0"/>
        <w:bidi w:val="0"/>
        <w:snapToGrid/>
        <w:spacing w:line="440" w:lineRule="exact"/>
        <w:ind w:left="140" w:hanging="140"/>
        <w:textAlignment w:val="auto"/>
        <w:rPr>
          <w:rFonts w:hint="eastAsia" w:ascii="Times New Roman" w:hAnsi="Times New Roman" w:eastAsia="仿宋_GB2312" w:cs="Mongolian Baiti"/>
          <w:bCs/>
          <w:color w:val="auto"/>
          <w:sz w:val="32"/>
          <w:szCs w:val="32"/>
          <w:u w:val="none" w:color="auto"/>
        </w:rPr>
      </w:pPr>
      <w:r>
        <w:rPr>
          <w:rFonts w:hint="eastAsia" w:ascii="Times New Roman" w:hAnsi="Times New Roman" w:eastAsia="仿宋_GB2312" w:cs="Mongolian Baiti"/>
          <w:bCs/>
          <w:color w:val="auto"/>
          <w:kern w:val="1"/>
          <w:sz w:val="32"/>
          <w:szCs w:val="32"/>
          <w:u w:val="none" w:color="auto"/>
        </w:rPr>
        <w:t>当事人：</w:t>
      </w:r>
      <w:r>
        <w:rPr>
          <w:rFonts w:hint="eastAsia" w:ascii="仿宋_GB2312" w:hAnsi="Times New Roman" w:eastAsia="仿宋_GB2312" w:cs="仿宋_GB2312"/>
          <w:color w:val="auto"/>
          <w:sz w:val="32"/>
          <w:szCs w:val="32"/>
          <w:u w:val="none" w:color="auto"/>
          <w:lang w:val="en-US" w:eastAsia="zh-CN"/>
        </w:rPr>
        <w:t>柳州市柳北区超群饼家</w:t>
      </w:r>
      <w:r>
        <w:rPr>
          <w:rFonts w:hint="eastAsia" w:ascii="仿宋_GB2312" w:hAnsi="Times New Roman" w:eastAsia="仿宋_GB2312"/>
          <w:color w:val="auto"/>
          <w:sz w:val="32"/>
          <w:szCs w:val="32"/>
          <w:u w:val="none" w:color="auto"/>
        </w:rPr>
        <w:t xml:space="preserve">         </w:t>
      </w:r>
      <w:r>
        <w:rPr>
          <w:rFonts w:hint="eastAsia" w:ascii="仿宋_GB2312" w:hAnsi="Times New Roman" w:eastAsia="仿宋_GB2312"/>
          <w:color w:val="auto"/>
          <w:sz w:val="32"/>
          <w:szCs w:val="32"/>
          <w:u w:val="none" w:color="auto"/>
          <w:lang w:val="en-US" w:eastAsia="zh-CN"/>
        </w:rPr>
        <w:t xml:space="preserve">                             </w:t>
      </w:r>
      <w:r>
        <w:rPr>
          <w:rFonts w:hint="eastAsia" w:ascii="Times New Roman" w:hAnsi="Times New Roman" w:eastAsia="仿宋_GB2312" w:cs="Mongolian Baiti"/>
          <w:color w:val="auto"/>
          <w:kern w:val="1"/>
          <w:sz w:val="32"/>
          <w:szCs w:val="32"/>
          <w:u w:val="none" w:color="auto"/>
        </w:rPr>
        <w:t xml:space="preserve">   </w:t>
      </w:r>
    </w:p>
    <w:p w14:paraId="1596486E">
      <w:pPr>
        <w:keepNext w:val="0"/>
        <w:keepLines w:val="0"/>
        <w:pageBreakBefore w:val="0"/>
        <w:widowControl w:val="0"/>
        <w:kinsoku/>
        <w:wordWrap/>
        <w:overflowPunct/>
        <w:topLinePunct w:val="0"/>
        <w:bidi w:val="0"/>
        <w:snapToGrid/>
        <w:spacing w:line="440" w:lineRule="exact"/>
        <w:ind w:left="140" w:hanging="140"/>
        <w:textAlignment w:val="auto"/>
        <w:rPr>
          <w:rFonts w:hint="eastAsia" w:ascii="Times New Roman" w:hAnsi="Times New Roman" w:eastAsia="仿宋_GB2312" w:cs="Mongolian Baiti"/>
          <w:color w:val="auto"/>
          <w:sz w:val="32"/>
          <w:szCs w:val="32"/>
          <w:u w:val="none" w:color="auto"/>
        </w:rPr>
      </w:pPr>
      <w:r>
        <w:rPr>
          <w:rFonts w:hint="eastAsia" w:ascii="Times New Roman" w:hAnsi="Times New Roman" w:eastAsia="仿宋_GB2312" w:cs="微软雅黑"/>
          <w:bCs/>
          <w:color w:val="auto"/>
          <w:kern w:val="1"/>
          <w:sz w:val="32"/>
          <w:szCs w:val="32"/>
          <w:u w:val="none" w:color="auto"/>
        </w:rPr>
        <w:t>主体资格证照</w:t>
      </w:r>
      <w:r>
        <w:rPr>
          <w:rFonts w:hint="eastAsia" w:ascii="Times New Roman" w:hAnsi="Times New Roman" w:eastAsia="仿宋_GB2312" w:cs="Mongolian Baiti"/>
          <w:color w:val="auto"/>
          <w:kern w:val="1"/>
          <w:sz w:val="32"/>
          <w:szCs w:val="32"/>
          <w:u w:val="none" w:color="auto"/>
        </w:rPr>
        <w:t>名称：</w:t>
      </w:r>
      <w:r>
        <w:rPr>
          <w:rFonts w:hint="eastAsia" w:ascii="仿宋_GB2312" w:hAnsi="仿宋_GB2312" w:eastAsia="仿宋_GB2312" w:cs="仿宋_GB2312"/>
          <w:b w:val="0"/>
          <w:bCs/>
          <w:color w:val="auto"/>
          <w:sz w:val="32"/>
          <w:szCs w:val="32"/>
          <w:u w:val="none" w:color="auto"/>
          <w:lang w:eastAsia="zh-CN"/>
        </w:rPr>
        <w:t xml:space="preserve">营业执照 </w:t>
      </w:r>
      <w:r>
        <w:rPr>
          <w:rFonts w:hint="eastAsia" w:ascii="Times New Roman" w:hAnsi="Times New Roman" w:eastAsia="仿宋_GB2312" w:cs="Mongolian Baiti"/>
          <w:color w:val="auto"/>
          <w:kern w:val="1"/>
          <w:sz w:val="32"/>
          <w:szCs w:val="32"/>
          <w:u w:val="none" w:color="auto"/>
        </w:rPr>
        <w:t xml:space="preserve">                                    </w:t>
      </w:r>
    </w:p>
    <w:p w14:paraId="5CE6EC46">
      <w:pPr>
        <w:keepNext w:val="0"/>
        <w:keepLines w:val="0"/>
        <w:pageBreakBefore w:val="0"/>
        <w:widowControl w:val="0"/>
        <w:kinsoku/>
        <w:wordWrap/>
        <w:overflowPunct/>
        <w:topLinePunct w:val="0"/>
        <w:bidi w:val="0"/>
        <w:snapToGrid/>
        <w:spacing w:line="440" w:lineRule="exact"/>
        <w:ind w:left="140" w:hanging="140"/>
        <w:textAlignment w:val="auto"/>
        <w:rPr>
          <w:rFonts w:hint="eastAsia" w:ascii="Times New Roman" w:hAnsi="Times New Roman" w:eastAsia="仿宋_GB2312" w:cs="Mongolian Baiti"/>
          <w:color w:val="auto"/>
          <w:kern w:val="1"/>
          <w:sz w:val="32"/>
          <w:szCs w:val="32"/>
          <w:u w:val="none" w:color="auto"/>
        </w:rPr>
      </w:pPr>
      <w:r>
        <w:rPr>
          <w:rFonts w:hint="eastAsia" w:ascii="Times New Roman" w:hAnsi="Times New Roman" w:eastAsia="仿宋_GB2312" w:cs="Mongolian Baiti"/>
          <w:color w:val="auto"/>
          <w:kern w:val="1"/>
          <w:sz w:val="32"/>
          <w:szCs w:val="32"/>
          <w:u w:val="none" w:color="auto"/>
        </w:rPr>
        <w:t>统一社会信用代码：</w:t>
      </w:r>
      <w:r>
        <w:rPr>
          <w:rFonts w:hint="eastAsia" w:ascii="仿宋_GB2312" w:hAnsi="仿宋_GB2312" w:eastAsia="仿宋_GB2312" w:cs="仿宋_GB2312"/>
          <w:color w:val="auto"/>
          <w:sz w:val="32"/>
          <w:szCs w:val="32"/>
          <w:highlight w:val="none"/>
          <w:u w:val="none" w:color="auto"/>
          <w:lang w:val="en-US" w:eastAsia="zh-CN"/>
        </w:rPr>
        <w:t>92450205MA5MM23P54</w:t>
      </w:r>
      <w:r>
        <w:rPr>
          <w:rFonts w:hint="eastAsia" w:ascii="Times New Roman" w:hAnsi="Times New Roman" w:eastAsia="仿宋_GB2312" w:cs="Mongolian Baiti"/>
          <w:color w:val="auto"/>
          <w:kern w:val="1"/>
          <w:sz w:val="32"/>
          <w:szCs w:val="32"/>
          <w:u w:val="none" w:color="auto"/>
        </w:rPr>
        <w:t xml:space="preserve">                               </w:t>
      </w:r>
    </w:p>
    <w:p w14:paraId="68989392">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sz w:val="32"/>
          <w:szCs w:val="32"/>
          <w:highlight w:val="none"/>
          <w:u w:val="none" w:color="auto"/>
          <w:lang w:eastAsia="zh-CN"/>
        </w:rPr>
        <w:t>经营场所：</w:t>
      </w:r>
      <w:r>
        <w:rPr>
          <w:rFonts w:hint="eastAsia" w:ascii="仿宋_GB2312" w:hAnsi="仿宋_GB2312" w:eastAsia="仿宋_GB2312" w:cs="仿宋_GB2312"/>
          <w:color w:val="auto"/>
          <w:sz w:val="32"/>
          <w:szCs w:val="32"/>
          <w:highlight w:val="none"/>
          <w:u w:val="none" w:color="auto"/>
          <w:lang w:val="en-US" w:eastAsia="zh-CN"/>
        </w:rPr>
        <w:t>柳州市三中路90号</w:t>
      </w:r>
      <w:r>
        <w:rPr>
          <w:rFonts w:hint="eastAsia" w:ascii="Times New Roman" w:hAnsi="Times New Roman" w:eastAsia="仿宋_GB2312" w:cs="Mongolian Baiti"/>
          <w:color w:val="auto"/>
          <w:kern w:val="1"/>
          <w:sz w:val="32"/>
          <w:szCs w:val="32"/>
          <w:u w:val="none" w:color="auto"/>
        </w:rPr>
        <w:t xml:space="preserve">                            </w:t>
      </w:r>
    </w:p>
    <w:p w14:paraId="33A363B5">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sz w:val="32"/>
          <w:szCs w:val="32"/>
          <w:highlight w:val="none"/>
          <w:u w:val="none" w:color="auto"/>
          <w:lang w:eastAsia="zh-CN"/>
        </w:rPr>
        <w:t>经营者：李智慧</w:t>
      </w:r>
      <w:r>
        <w:rPr>
          <w:rFonts w:hint="eastAsia" w:ascii="Times New Roman" w:hAnsi="Times New Roman" w:eastAsia="仿宋_GB2312" w:cs="Mongolian Baiti"/>
          <w:color w:val="auto"/>
          <w:kern w:val="1"/>
          <w:sz w:val="32"/>
          <w:szCs w:val="32"/>
          <w:u w:val="none" w:color="auto"/>
        </w:rPr>
        <w:t xml:space="preserve">                           </w:t>
      </w:r>
    </w:p>
    <w:p w14:paraId="3F4CFDF4">
      <w:pPr>
        <w:keepNext w:val="0"/>
        <w:keepLines w:val="0"/>
        <w:pageBreakBefore w:val="0"/>
        <w:widowControl w:val="0"/>
        <w:kinsoku/>
        <w:wordWrap/>
        <w:overflowPunct/>
        <w:topLinePunct w:val="0"/>
        <w:bidi w:val="0"/>
        <w:snapToGrid/>
        <w:spacing w:line="440" w:lineRule="exact"/>
        <w:ind w:left="140" w:hanging="140"/>
        <w:textAlignment w:val="auto"/>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u w:val="none" w:color="auto"/>
        </w:rPr>
        <w:t>身份证件号码：</w:t>
      </w:r>
      <w:r>
        <w:rPr>
          <w:rFonts w:hint="eastAsia" w:ascii="仿宋_GB2312" w:hAnsi="仿宋_GB2312" w:eastAsia="仿宋_GB2312" w:cs="仿宋_GB2312"/>
          <w:color w:val="auto"/>
          <w:sz w:val="32"/>
          <w:szCs w:val="32"/>
          <w:highlight w:val="none"/>
          <w:u w:val="none" w:color="auto"/>
          <w:lang w:val="en-US" w:eastAsia="zh-CN"/>
        </w:rPr>
        <w:t>*</w:t>
      </w:r>
      <w:bookmarkStart w:id="3" w:name="_GoBack"/>
      <w:bookmarkEnd w:id="3"/>
      <w:r>
        <w:rPr>
          <w:rFonts w:hint="eastAsia" w:ascii="Times New Roman" w:hAnsi="Times New Roman" w:eastAsia="仿宋_GB2312" w:cs="Mongolian Baiti"/>
          <w:color w:val="auto"/>
          <w:kern w:val="1"/>
          <w:sz w:val="32"/>
          <w:szCs w:val="32"/>
          <w:u w:val="none" w:color="auto"/>
        </w:rPr>
        <w:t xml:space="preserve">                   </w:t>
      </w:r>
    </w:p>
    <w:p w14:paraId="758D8F1B">
      <w:pPr>
        <w:keepNext w:val="0"/>
        <w:keepLines w:val="0"/>
        <w:pageBreakBefore w:val="0"/>
        <w:widowControl/>
        <w:kinsoku/>
        <w:wordWrap/>
        <w:overflowPunct/>
        <w:topLinePunct w:val="0"/>
        <w:autoSpaceDE/>
        <w:autoSpaceDN/>
        <w:bidi w:val="0"/>
        <w:adjustRightInd w:val="0"/>
        <w:snapToGrid/>
        <w:spacing w:line="44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u w:val="none" w:color="auto"/>
          <w:lang w:val="en-US" w:eastAsia="zh-CN"/>
        </w:rPr>
      </w:pPr>
    </w:p>
    <w:p w14:paraId="45A9FC38">
      <w:pPr>
        <w:keepNext w:val="0"/>
        <w:keepLines w:val="0"/>
        <w:pageBreakBefore w:val="0"/>
        <w:widowControl/>
        <w:kinsoku/>
        <w:wordWrap/>
        <w:overflowPunct/>
        <w:topLinePunct w:val="0"/>
        <w:autoSpaceDE/>
        <w:autoSpaceDN/>
        <w:bidi w:val="0"/>
        <w:adjustRightInd w:val="0"/>
        <w:snapToGrid/>
        <w:spacing w:line="50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2025年6月25日我局执法人员对当事人进行现场检查，发现当事人存在未对采购的食品原料、食品添加剂进行进货查验并记录相关信息，食品添加剂和普通食品混放，加工间吊顶破损，吐司机上放置记录本等情况。2025年7月7日我局对当事人</w:t>
      </w:r>
      <w:r>
        <w:rPr>
          <w:rFonts w:hint="eastAsia" w:ascii="仿宋_GB2312" w:hAnsi="仿宋_GB2312" w:eastAsia="仿宋_GB2312" w:cs="仿宋_GB2312"/>
          <w:bCs/>
          <w:color w:val="auto"/>
          <w:sz w:val="32"/>
          <w:szCs w:val="32"/>
          <w:lang w:val="en-US" w:eastAsia="zh-CN"/>
        </w:rPr>
        <w:t>予以</w:t>
      </w:r>
      <w:r>
        <w:rPr>
          <w:rFonts w:hint="eastAsia" w:ascii="仿宋_GB2312" w:hAnsi="仿宋_GB2312" w:eastAsia="仿宋_GB2312" w:cs="仿宋_GB2312"/>
          <w:color w:val="auto"/>
          <w:sz w:val="32"/>
          <w:szCs w:val="32"/>
          <w:highlight w:val="none"/>
          <w:u w:val="none" w:color="auto"/>
          <w:lang w:val="en-US" w:eastAsia="zh-CN"/>
        </w:rPr>
        <w:t>立案调查。</w:t>
      </w:r>
    </w:p>
    <w:p w14:paraId="4CF03638">
      <w:pPr>
        <w:pStyle w:val="2"/>
        <w:keepNext w:val="0"/>
        <w:keepLines w:val="0"/>
        <w:pageBreakBefore w:val="0"/>
        <w:widowControl w:val="0"/>
        <w:kinsoku/>
        <w:wordWrap/>
        <w:overflowPunct/>
        <w:topLinePunct w:val="0"/>
        <w:bidi w:val="0"/>
        <w:snapToGrid/>
        <w:spacing w:line="500" w:lineRule="exact"/>
        <w:ind w:left="0" w:lef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经查实，</w:t>
      </w:r>
      <w:r>
        <w:rPr>
          <w:rFonts w:hint="eastAsia" w:hAnsi="仿宋_GB2312" w:cs="仿宋_GB2312"/>
          <w:color w:val="auto"/>
          <w:sz w:val="32"/>
          <w:szCs w:val="32"/>
          <w:u w:val="none" w:color="auto"/>
          <w:lang w:val="en-US" w:eastAsia="zh-CN"/>
        </w:rPr>
        <w:t>2025年3月19日</w:t>
      </w:r>
      <w:r>
        <w:rPr>
          <w:rFonts w:hint="eastAsia" w:ascii="仿宋_GB2312" w:hAnsi="仿宋_GB2312" w:eastAsia="仿宋_GB2312" w:cs="仿宋_GB2312"/>
          <w:color w:val="auto"/>
          <w:sz w:val="32"/>
          <w:szCs w:val="32"/>
          <w:u w:val="none" w:color="auto"/>
          <w:lang w:val="en-US" w:eastAsia="zh-CN"/>
        </w:rPr>
        <w:t>当事人</w:t>
      </w:r>
      <w:r>
        <w:rPr>
          <w:rFonts w:hint="eastAsia" w:hAnsi="仿宋_GB2312" w:cs="仿宋_GB2312"/>
          <w:color w:val="auto"/>
          <w:sz w:val="32"/>
          <w:szCs w:val="32"/>
          <w:u w:val="none" w:color="auto"/>
          <w:lang w:val="en-US" w:eastAsia="zh-CN"/>
        </w:rPr>
        <w:t>在从事食品生产经营活动时，未对采购的食品原料及食品添加剂进行进货查验并记录相关信息，</w:t>
      </w:r>
      <w:r>
        <w:rPr>
          <w:rFonts w:hint="eastAsia" w:ascii="仿宋_GB2312" w:hAnsi="仿宋_GB2312" w:eastAsia="仿宋_GB2312" w:cs="仿宋_GB2312"/>
          <w:color w:val="auto"/>
          <w:sz w:val="32"/>
          <w:szCs w:val="32"/>
          <w:u w:val="none" w:color="auto"/>
          <w:lang w:val="en-US" w:eastAsia="zh-CN"/>
        </w:rPr>
        <w:t>我局</w:t>
      </w:r>
      <w:r>
        <w:rPr>
          <w:rFonts w:hint="eastAsia" w:hAnsi="仿宋_GB2312" w:cs="仿宋_GB2312"/>
          <w:color w:val="auto"/>
          <w:sz w:val="32"/>
          <w:szCs w:val="32"/>
          <w:u w:val="none" w:color="auto"/>
          <w:lang w:val="en-US" w:eastAsia="zh-CN"/>
        </w:rPr>
        <w:t>当场</w:t>
      </w:r>
      <w:r>
        <w:rPr>
          <w:rFonts w:hint="eastAsia" w:ascii="仿宋_GB2312" w:hAnsi="仿宋_GB2312" w:eastAsia="仿宋_GB2312" w:cs="仿宋_GB2312"/>
          <w:color w:val="auto"/>
          <w:sz w:val="32"/>
          <w:szCs w:val="32"/>
          <w:u w:val="none" w:color="auto"/>
          <w:lang w:val="en-US" w:eastAsia="zh-CN"/>
        </w:rPr>
        <w:t>向当事人下达</w:t>
      </w:r>
      <w:r>
        <w:rPr>
          <w:rFonts w:hint="eastAsia" w:ascii="仿宋_GB2312" w:hAnsi="仿宋_GB2312" w:eastAsia="仿宋_GB2312" w:cs="仿宋_GB2312"/>
          <w:bCs/>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当场行政处罚决定书》（柳北市监当罚〔2025〕61号）</w:t>
      </w:r>
      <w:r>
        <w:rPr>
          <w:rFonts w:hint="eastAsia" w:ascii="仿宋_GB2312" w:hAnsi="仿宋_GB2312" w:eastAsia="仿宋_GB2312" w:cs="仿宋_GB2312"/>
          <w:color w:val="auto"/>
          <w:sz w:val="32"/>
          <w:szCs w:val="32"/>
          <w:u w:val="none" w:color="auto"/>
          <w:lang w:val="en-US" w:eastAsia="zh-CN"/>
        </w:rPr>
        <w:t>，责令</w:t>
      </w:r>
      <w:r>
        <w:rPr>
          <w:rFonts w:hint="eastAsia" w:hAnsi="仿宋_GB2312" w:cs="仿宋_GB2312"/>
          <w:color w:val="auto"/>
          <w:sz w:val="32"/>
          <w:szCs w:val="32"/>
          <w:u w:val="none" w:color="auto"/>
          <w:lang w:val="en-US" w:eastAsia="zh-CN"/>
        </w:rPr>
        <w:t>当事人于2025年4月2日前</w:t>
      </w:r>
      <w:r>
        <w:rPr>
          <w:rFonts w:hint="eastAsia" w:ascii="仿宋_GB2312" w:hAnsi="仿宋_GB2312" w:eastAsia="仿宋_GB2312" w:cs="仿宋_GB2312"/>
          <w:color w:val="auto"/>
          <w:sz w:val="32"/>
          <w:szCs w:val="32"/>
          <w:u w:val="none" w:color="auto"/>
          <w:lang w:val="en-US" w:eastAsia="zh-CN"/>
        </w:rPr>
        <w:t>改正上述违法行为，</w:t>
      </w:r>
      <w:r>
        <w:rPr>
          <w:rFonts w:hint="eastAsia" w:hAnsi="仿宋_GB2312" w:cs="仿宋_GB2312"/>
          <w:color w:val="auto"/>
          <w:sz w:val="32"/>
          <w:szCs w:val="32"/>
          <w:u w:val="none" w:color="auto"/>
          <w:lang w:val="en-US" w:eastAsia="zh-CN"/>
        </w:rPr>
        <w:t>并</w:t>
      </w:r>
      <w:r>
        <w:rPr>
          <w:rFonts w:hint="eastAsia" w:ascii="仿宋_GB2312" w:hAnsi="仿宋_GB2312" w:eastAsia="仿宋_GB2312" w:cs="仿宋_GB2312"/>
          <w:color w:val="auto"/>
          <w:sz w:val="32"/>
          <w:szCs w:val="32"/>
          <w:u w:val="none" w:color="auto"/>
          <w:lang w:val="en-US" w:eastAsia="zh-CN"/>
        </w:rPr>
        <w:t>给予警告</w:t>
      </w:r>
      <w:r>
        <w:rPr>
          <w:rFonts w:hint="eastAsia" w:hAnsi="仿宋_GB2312" w:cs="仿宋_GB2312"/>
          <w:color w:val="auto"/>
          <w:sz w:val="32"/>
          <w:szCs w:val="32"/>
          <w:u w:val="none" w:color="auto"/>
          <w:lang w:val="en-US" w:eastAsia="zh-CN"/>
        </w:rPr>
        <w:t>的行政处罚</w:t>
      </w:r>
      <w:r>
        <w:rPr>
          <w:rFonts w:hint="eastAsia" w:ascii="仿宋_GB2312" w:hAnsi="仿宋_GB2312" w:eastAsia="仿宋_GB2312" w:cs="仿宋_GB2312"/>
          <w:color w:val="auto"/>
          <w:sz w:val="32"/>
          <w:szCs w:val="32"/>
          <w:u w:val="none" w:color="auto"/>
          <w:lang w:val="en-US" w:eastAsia="zh-CN"/>
        </w:rPr>
        <w:t>。2025年6月25日</w:t>
      </w:r>
      <w:r>
        <w:rPr>
          <w:rFonts w:hint="eastAsia" w:hAnsi="仿宋_GB2312" w:cs="仿宋_GB2312"/>
          <w:color w:val="auto"/>
          <w:sz w:val="32"/>
          <w:szCs w:val="32"/>
          <w:u w:val="none" w:color="auto"/>
          <w:lang w:val="en-US" w:eastAsia="zh-CN"/>
        </w:rPr>
        <w:t>我局组织</w:t>
      </w:r>
      <w:r>
        <w:rPr>
          <w:rFonts w:hint="eastAsia" w:ascii="仿宋_GB2312" w:hAnsi="仿宋_GB2312" w:eastAsia="仿宋_GB2312" w:cs="仿宋_GB2312"/>
          <w:color w:val="auto"/>
          <w:sz w:val="32"/>
          <w:szCs w:val="32"/>
          <w:u w:val="none" w:color="auto"/>
          <w:lang w:val="en-US" w:eastAsia="zh-CN"/>
        </w:rPr>
        <w:t>复查时，当事人仍</w:t>
      </w:r>
      <w:r>
        <w:rPr>
          <w:rFonts w:hint="eastAsia" w:hAnsi="仿宋_GB2312" w:cs="仿宋_GB2312"/>
          <w:color w:val="auto"/>
          <w:sz w:val="32"/>
          <w:szCs w:val="32"/>
          <w:u w:val="none" w:color="auto"/>
          <w:lang w:val="en-US" w:eastAsia="zh-CN"/>
        </w:rPr>
        <w:t>未对采购的食品原料及食品添加剂进行进货查验并记录相关信息，且还存在</w:t>
      </w:r>
      <w:r>
        <w:rPr>
          <w:rFonts w:hint="eastAsia" w:ascii="仿宋_GB2312" w:hAnsi="仿宋_GB2312" w:eastAsia="仿宋_GB2312" w:cs="仿宋_GB2312"/>
          <w:color w:val="auto"/>
          <w:sz w:val="32"/>
          <w:szCs w:val="32"/>
          <w:highlight w:val="none"/>
          <w:u w:val="none" w:color="auto"/>
          <w:lang w:val="en-US" w:eastAsia="zh-CN"/>
        </w:rPr>
        <w:t>食品添加剂和普通食品混放，加工间吊顶破损，吐司机上</w:t>
      </w:r>
      <w:r>
        <w:rPr>
          <w:rFonts w:hint="eastAsia" w:hAnsi="仿宋_GB2312" w:cs="仿宋_GB2312"/>
          <w:color w:val="auto"/>
          <w:sz w:val="32"/>
          <w:szCs w:val="32"/>
          <w:highlight w:val="none"/>
          <w:u w:val="none" w:color="auto"/>
          <w:lang w:val="en-US" w:eastAsia="zh-CN"/>
        </w:rPr>
        <w:t>放置</w:t>
      </w:r>
      <w:r>
        <w:rPr>
          <w:rFonts w:hint="eastAsia" w:ascii="仿宋_GB2312" w:hAnsi="仿宋_GB2312" w:eastAsia="仿宋_GB2312" w:cs="仿宋_GB2312"/>
          <w:color w:val="auto"/>
          <w:sz w:val="32"/>
          <w:szCs w:val="32"/>
          <w:highlight w:val="none"/>
          <w:u w:val="none" w:color="auto"/>
          <w:lang w:val="en-US" w:eastAsia="zh-CN"/>
        </w:rPr>
        <w:t>记录本</w:t>
      </w:r>
      <w:r>
        <w:rPr>
          <w:rFonts w:hint="eastAsia" w:hAnsi="仿宋_GB2312" w:cs="仿宋_GB2312"/>
          <w:color w:val="auto"/>
          <w:sz w:val="32"/>
          <w:szCs w:val="32"/>
          <w:highlight w:val="none"/>
          <w:u w:val="none" w:color="auto"/>
          <w:lang w:val="en-US" w:eastAsia="zh-CN"/>
        </w:rPr>
        <w:t>的</w:t>
      </w:r>
      <w:r>
        <w:rPr>
          <w:rFonts w:hint="eastAsia" w:ascii="仿宋_GB2312" w:hAnsi="仿宋_GB2312" w:eastAsia="仿宋_GB2312" w:cs="仿宋_GB2312"/>
          <w:color w:val="auto"/>
          <w:sz w:val="32"/>
          <w:szCs w:val="32"/>
          <w:highlight w:val="none"/>
          <w:u w:val="none" w:color="auto"/>
          <w:lang w:val="en-US" w:eastAsia="zh-CN"/>
        </w:rPr>
        <w:t>情况</w:t>
      </w:r>
      <w:r>
        <w:rPr>
          <w:rFonts w:hint="eastAsia" w:ascii="仿宋_GB2312" w:hAnsi="仿宋_GB2312" w:eastAsia="仿宋_GB2312" w:cs="仿宋_GB2312"/>
          <w:color w:val="auto"/>
          <w:sz w:val="32"/>
          <w:szCs w:val="32"/>
          <w:u w:val="none" w:color="auto"/>
          <w:lang w:val="en-US" w:eastAsia="zh-CN"/>
        </w:rPr>
        <w:t>。</w:t>
      </w:r>
    </w:p>
    <w:p w14:paraId="22DB1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1"/>
          <w:sz w:val="32"/>
          <w:szCs w:val="32"/>
          <w:lang w:val="en-US" w:eastAsia="zh-CN" w:bidi="ar-SA"/>
        </w:rPr>
      </w:pPr>
      <w:r>
        <w:rPr>
          <w:rFonts w:hint="eastAsia" w:ascii="仿宋_GB2312" w:hAnsi="仿宋_GB2312" w:eastAsia="仿宋_GB2312" w:cs="仿宋_GB2312"/>
          <w:color w:val="auto"/>
          <w:kern w:val="1"/>
          <w:sz w:val="32"/>
          <w:szCs w:val="32"/>
          <w:lang w:val="en-US" w:eastAsia="zh-CN" w:bidi="ar-SA"/>
        </w:rPr>
        <w:t>上述事实，主要有以下证据证明：</w:t>
      </w:r>
    </w:p>
    <w:p w14:paraId="1763A7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_GB2312" w:hAnsi="仿宋_GB2312" w:eastAsia="仿宋_GB2312" w:cs="仿宋_GB2312"/>
          <w:bCs/>
          <w:color w:val="auto"/>
          <w:sz w:val="32"/>
          <w:szCs w:val="32"/>
          <w:u w:val="none" w:color="auto"/>
        </w:rPr>
      </w:pPr>
      <w:r>
        <w:rPr>
          <w:rFonts w:hint="eastAsia" w:ascii="仿宋_GB2312" w:hAnsi="Times New Roman" w:eastAsia="仿宋_GB2312" w:cs="仿宋_GB2312"/>
          <w:color w:val="auto"/>
          <w:sz w:val="32"/>
          <w:szCs w:val="32"/>
          <w:u w:val="none" w:color="auto"/>
        </w:rPr>
        <w:t>1.</w:t>
      </w:r>
      <w:r>
        <w:rPr>
          <w:rFonts w:hint="eastAsia" w:ascii="仿宋_GB2312" w:hAnsi="仿宋_GB2312" w:eastAsia="仿宋_GB2312" w:cs="仿宋_GB2312"/>
          <w:bCs/>
          <w:color w:val="auto"/>
          <w:sz w:val="32"/>
          <w:szCs w:val="32"/>
          <w:u w:val="none" w:color="auto"/>
        </w:rPr>
        <w:t>当事人的《营业执照》复印件</w:t>
      </w:r>
      <w:r>
        <w:rPr>
          <w:rFonts w:hint="eastAsia" w:ascii="仿宋_GB2312" w:hAnsi="仿宋_GB2312" w:eastAsia="仿宋_GB2312" w:cs="仿宋_GB2312"/>
          <w:bCs/>
          <w:color w:val="auto"/>
          <w:sz w:val="32"/>
          <w:szCs w:val="32"/>
          <w:u w:val="none" w:color="auto"/>
          <w:lang w:val="en-US" w:eastAsia="zh-CN"/>
        </w:rPr>
        <w:t>1份、</w:t>
      </w:r>
      <w:r>
        <w:rPr>
          <w:rFonts w:hint="eastAsia" w:ascii="仿宋_GB2312" w:hAnsi="仿宋_GB2312" w:eastAsia="仿宋_GB2312" w:cs="仿宋_GB2312"/>
          <w:color w:val="auto"/>
          <w:sz w:val="32"/>
          <w:szCs w:val="32"/>
          <w:u w:val="none" w:color="auto"/>
          <w:lang w:eastAsia="zh-CN"/>
        </w:rPr>
        <w:t>《食品生产许可证》复印件各</w:t>
      </w:r>
      <w:r>
        <w:rPr>
          <w:rFonts w:hint="eastAsia" w:ascii="仿宋_GB2312" w:hAnsi="仿宋_GB2312" w:eastAsia="仿宋_GB2312" w:cs="仿宋_GB2312"/>
          <w:color w:val="auto"/>
          <w:sz w:val="32"/>
          <w:szCs w:val="32"/>
          <w:u w:val="none" w:color="auto"/>
          <w:lang w:val="en-US" w:eastAsia="zh-CN"/>
        </w:rPr>
        <w:t>1份</w:t>
      </w:r>
      <w:r>
        <w:rPr>
          <w:rFonts w:hint="eastAsia" w:ascii="仿宋_GB2312" w:hAnsi="仿宋_GB2312" w:eastAsia="仿宋_GB2312" w:cs="仿宋_GB2312"/>
          <w:bCs/>
          <w:color w:val="auto"/>
          <w:sz w:val="32"/>
          <w:szCs w:val="32"/>
          <w:u w:val="none" w:color="auto"/>
          <w:lang w:eastAsia="zh-CN"/>
        </w:rPr>
        <w:t>，</w:t>
      </w:r>
      <w:r>
        <w:rPr>
          <w:rFonts w:hint="eastAsia" w:ascii="仿宋_GB2312" w:hAnsi="仿宋_GB2312" w:eastAsia="仿宋_GB2312" w:cs="仿宋_GB2312"/>
          <w:color w:val="auto"/>
          <w:spacing w:val="-6"/>
          <w:sz w:val="32"/>
          <w:szCs w:val="32"/>
          <w:highlight w:val="none"/>
          <w:u w:val="none" w:color="auto"/>
          <w:lang w:val="en-US" w:eastAsia="zh-CN"/>
        </w:rPr>
        <w:t>经营者身份证复印件1份，证明当事人的主体资格和经营者的身份信息。</w:t>
      </w:r>
    </w:p>
    <w:p w14:paraId="70DB7982">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Cs/>
          <w:color w:val="auto"/>
          <w:sz w:val="32"/>
          <w:szCs w:val="32"/>
          <w:u w:val="none" w:color="auto"/>
          <w:lang w:val="en-US" w:eastAsia="zh-CN"/>
        </w:rPr>
      </w:pPr>
      <w:r>
        <w:rPr>
          <w:rFonts w:hint="eastAsia" w:ascii="仿宋_GB2312" w:hAnsi="Times New Roman" w:eastAsia="仿宋_GB2312" w:cs="仿宋_GB2312"/>
          <w:color w:val="auto"/>
          <w:sz w:val="32"/>
          <w:szCs w:val="32"/>
          <w:u w:val="none" w:color="auto"/>
        </w:rPr>
        <w:t>2.</w:t>
      </w:r>
      <w:r>
        <w:rPr>
          <w:rFonts w:hint="eastAsia" w:ascii="仿宋_GB2312" w:hAnsi="仿宋_GB2312" w:eastAsia="仿宋_GB2312" w:cs="仿宋_GB2312"/>
          <w:bCs/>
          <w:color w:val="auto"/>
          <w:sz w:val="32"/>
          <w:szCs w:val="32"/>
          <w:u w:val="none" w:color="auto"/>
        </w:rPr>
        <w:t>现场笔录</w:t>
      </w:r>
      <w:r>
        <w:rPr>
          <w:rFonts w:hint="eastAsia" w:ascii="仿宋_GB2312" w:hAnsi="仿宋_GB2312" w:eastAsia="仿宋_GB2312" w:cs="仿宋_GB2312"/>
          <w:bCs/>
          <w:color w:val="auto"/>
          <w:sz w:val="32"/>
          <w:szCs w:val="32"/>
          <w:u w:val="none" w:color="auto"/>
          <w:lang w:val="en-US" w:eastAsia="zh-CN"/>
        </w:rPr>
        <w:t>1份</w:t>
      </w:r>
      <w:r>
        <w:rPr>
          <w:rFonts w:hint="eastAsia" w:ascii="仿宋_GB2312" w:hAnsi="仿宋_GB2312" w:eastAsia="仿宋_GB2312" w:cs="仿宋_GB2312"/>
          <w:bCs/>
          <w:color w:val="auto"/>
          <w:sz w:val="32"/>
          <w:szCs w:val="32"/>
          <w:u w:val="none" w:color="auto"/>
        </w:rPr>
        <w:t>，询问笔录</w:t>
      </w:r>
      <w:r>
        <w:rPr>
          <w:rFonts w:hint="eastAsia" w:ascii="仿宋_GB2312" w:hAnsi="仿宋_GB2312" w:eastAsia="仿宋_GB2312" w:cs="仿宋_GB2312"/>
          <w:bCs/>
          <w:color w:val="auto"/>
          <w:sz w:val="32"/>
          <w:szCs w:val="32"/>
          <w:u w:val="none" w:color="auto"/>
          <w:lang w:val="en-US" w:eastAsia="zh-CN"/>
        </w:rPr>
        <w:t>1份,证据提取单5份，</w:t>
      </w:r>
      <w:r>
        <w:rPr>
          <w:rFonts w:hint="eastAsia" w:ascii="仿宋_GB2312" w:hAnsi="仿宋_GB2312" w:eastAsia="仿宋_GB2312" w:cs="仿宋_GB2312"/>
          <w:color w:val="auto"/>
          <w:sz w:val="32"/>
          <w:szCs w:val="32"/>
          <w:highlight w:val="none"/>
          <w:u w:val="none" w:color="auto"/>
          <w:lang w:val="en-US" w:eastAsia="zh-CN"/>
        </w:rPr>
        <w:t>证明2025年6月25日我局对当事人检查时当事人存在未对采购的食品原料及食品添加剂进行进货查验并记录相关信息，食品添加剂和普通食品混放，加工间吊顶破损，吐司机上放置记录本的行为</w:t>
      </w:r>
      <w:r>
        <w:rPr>
          <w:rFonts w:hint="eastAsia" w:ascii="仿宋_GB2312" w:hAnsi="仿宋_GB2312" w:eastAsia="仿宋_GB2312" w:cs="仿宋_GB2312"/>
          <w:bCs/>
          <w:color w:val="auto"/>
          <w:sz w:val="32"/>
          <w:szCs w:val="32"/>
          <w:u w:val="none" w:color="auto"/>
          <w:lang w:val="en-US" w:eastAsia="zh-CN"/>
        </w:rPr>
        <w:t>。</w:t>
      </w:r>
    </w:p>
    <w:p w14:paraId="14C8C010">
      <w:pPr>
        <w:pStyle w:val="6"/>
        <w:keepNext w:val="0"/>
        <w:keepLines w:val="0"/>
        <w:pageBreakBefore w:val="0"/>
        <w:widowControl w:val="0"/>
        <w:shd w:val="clear" w:color="auto" w:fill="FFFFFF"/>
        <w:kinsoku/>
        <w:wordWrap/>
        <w:overflowPunct/>
        <w:topLinePunct w:val="0"/>
        <w:autoSpaceDE/>
        <w:autoSpaceDN/>
        <w:bidi w:val="0"/>
        <w:snapToGrid/>
        <w:spacing w:beforeAutospacing="0" w:afterAutospacing="0" w:line="500" w:lineRule="exact"/>
        <w:ind w:firstLine="640" w:firstLineChars="200"/>
        <w:jc w:val="both"/>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bCs/>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当场行政处罚决定书》（柳北市监当罚〔2025〕61号）</w:t>
      </w:r>
      <w:r>
        <w:rPr>
          <w:rFonts w:hint="eastAsia" w:ascii="仿宋_GB2312" w:hAnsi="仿宋_GB2312" w:eastAsia="仿宋_GB2312" w:cs="仿宋_GB2312"/>
          <w:color w:val="auto"/>
          <w:sz w:val="32"/>
          <w:szCs w:val="32"/>
          <w:highlight w:val="none"/>
          <w:u w:val="none" w:color="auto"/>
          <w:lang w:eastAsia="zh-CN"/>
        </w:rPr>
        <w:t>复印件</w:t>
      </w:r>
      <w:r>
        <w:rPr>
          <w:rFonts w:hint="eastAsia" w:ascii="仿宋_GB2312" w:hAnsi="仿宋_GB2312" w:eastAsia="仿宋_GB2312" w:cs="仿宋_GB2312"/>
          <w:color w:val="auto"/>
          <w:sz w:val="32"/>
          <w:szCs w:val="32"/>
          <w:highlight w:val="none"/>
          <w:u w:val="none" w:color="auto"/>
          <w:lang w:val="en-US" w:eastAsia="zh-CN"/>
        </w:rPr>
        <w:t>1份，证明2025年3月19日当事人因未对采购的食品原料及食品添加剂进行进货查验并记录相关信息被我局处以警告的当场行政处罚。</w:t>
      </w:r>
    </w:p>
    <w:p w14:paraId="186473D9">
      <w:pPr>
        <w:pStyle w:val="6"/>
        <w:keepNext w:val="0"/>
        <w:keepLines w:val="0"/>
        <w:pageBreakBefore w:val="0"/>
        <w:widowControl w:val="0"/>
        <w:shd w:val="clear" w:color="auto" w:fill="FFFFFF"/>
        <w:kinsoku/>
        <w:wordWrap/>
        <w:overflowPunct/>
        <w:topLinePunct w:val="0"/>
        <w:autoSpaceDE/>
        <w:autoSpaceDN/>
        <w:bidi w:val="0"/>
        <w:snapToGrid/>
        <w:spacing w:beforeAutospacing="0" w:afterAutospacing="0" w:line="500" w:lineRule="exact"/>
        <w:ind w:firstLine="640" w:firstLineChars="200"/>
        <w:jc w:val="both"/>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4.《整改报告》1份，证明当事人整改情况。</w:t>
      </w:r>
    </w:p>
    <w:p w14:paraId="634356B3">
      <w:pPr>
        <w:pStyle w:val="6"/>
        <w:keepNext w:val="0"/>
        <w:keepLines w:val="0"/>
        <w:pageBreakBefore w:val="0"/>
        <w:widowControl w:val="0"/>
        <w:shd w:val="clear" w:color="auto" w:fill="FFFFFF"/>
        <w:kinsoku/>
        <w:wordWrap/>
        <w:overflowPunct/>
        <w:topLinePunct w:val="0"/>
        <w:autoSpaceDE/>
        <w:autoSpaceDN/>
        <w:bidi w:val="0"/>
        <w:snapToGrid/>
        <w:spacing w:beforeAutospacing="0" w:afterAutospacing="0" w:line="500" w:lineRule="exact"/>
        <w:ind w:firstLine="640" w:firstLineChars="200"/>
        <w:jc w:val="both"/>
        <w:rPr>
          <w:rFonts w:hint="eastAsia"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bCs/>
          <w:color w:val="auto"/>
          <w:sz w:val="32"/>
          <w:szCs w:val="32"/>
          <w:u w:val="none" w:color="auto"/>
          <w:lang w:val="en-US" w:eastAsia="zh-CN"/>
        </w:rPr>
        <w:t>以上证据均由经营者签名认可。</w:t>
      </w:r>
    </w:p>
    <w:p w14:paraId="1FA316E2">
      <w:pPr>
        <w:keepNext w:val="0"/>
        <w:keepLines w:val="0"/>
        <w:pageBreakBefore w:val="0"/>
        <w:widowControl w:val="0"/>
        <w:kinsoku/>
        <w:wordWrap/>
        <w:overflowPunct/>
        <w:topLinePunct w:val="0"/>
        <w:autoSpaceDE/>
        <w:autoSpaceDN/>
        <w:bidi w:val="0"/>
        <w:snapToGrid/>
        <w:spacing w:line="440" w:lineRule="exact"/>
        <w:ind w:right="0" w:rightChars="0" w:firstLine="640" w:firstLineChars="200"/>
        <w:textAlignment w:val="auto"/>
        <w:rPr>
          <w:rFonts w:hint="default" w:ascii="仿宋_GB2312" w:hAnsi="仿宋_GB2312" w:eastAsia="仿宋_GB2312" w:cs="仿宋_GB2312"/>
          <w:bCs/>
          <w:color w:val="auto"/>
          <w:kern w:val="0"/>
          <w:sz w:val="32"/>
          <w:szCs w:val="32"/>
          <w:highlight w:val="none"/>
          <w:u w:val="none" w:color="auto"/>
          <w:lang w:val="en-US" w:eastAsia="zh-CN" w:bidi="ar-SA"/>
        </w:rPr>
      </w:pPr>
      <w:r>
        <w:rPr>
          <w:rFonts w:hint="eastAsia" w:ascii="仿宋_GB2312" w:hAnsi="仿宋_GB2312" w:eastAsia="仿宋_GB2312" w:cs="仿宋_GB2312"/>
          <w:color w:val="auto"/>
          <w:sz w:val="32"/>
          <w:szCs w:val="32"/>
          <w:u w:val="none" w:color="auto"/>
          <w:lang w:val="en-US" w:eastAsia="zh-CN"/>
        </w:rPr>
        <w:t>2025年9月10日</w:t>
      </w:r>
      <w:r>
        <w:rPr>
          <w:rFonts w:hint="eastAsia" w:ascii="仿宋_GB2312" w:hAnsi="仿宋_GB2312" w:eastAsia="仿宋_GB2312" w:cs="仿宋_GB2312"/>
          <w:bCs/>
          <w:color w:val="auto"/>
          <w:sz w:val="32"/>
          <w:szCs w:val="32"/>
          <w:highlight w:val="none"/>
          <w:u w:val="none" w:color="auto"/>
        </w:rPr>
        <w:t>我局向当事人送达了《行政处罚告知书》（柳北市监</w:t>
      </w:r>
      <w:r>
        <w:rPr>
          <w:rFonts w:hint="eastAsia" w:ascii="仿宋_GB2312" w:hAnsi="仿宋_GB2312" w:eastAsia="仿宋_GB2312" w:cs="仿宋_GB2312"/>
          <w:bCs/>
          <w:color w:val="auto"/>
          <w:sz w:val="32"/>
          <w:szCs w:val="32"/>
          <w:highlight w:val="none"/>
          <w:u w:val="none" w:color="auto"/>
          <w:lang w:eastAsia="zh-CN"/>
        </w:rPr>
        <w:t>罚告</w:t>
      </w:r>
      <w:r>
        <w:rPr>
          <w:rFonts w:hint="eastAsia" w:ascii="仿宋_GB2312" w:hAnsi="仿宋_GB2312" w:eastAsia="仿宋_GB2312" w:cs="仿宋_GB2312"/>
          <w:bCs/>
          <w:color w:val="auto"/>
          <w:sz w:val="32"/>
          <w:szCs w:val="32"/>
          <w:highlight w:val="none"/>
          <w:u w:val="none" w:color="auto"/>
        </w:rPr>
        <w:t>〔202</w:t>
      </w:r>
      <w:r>
        <w:rPr>
          <w:rFonts w:hint="eastAsia" w:ascii="仿宋_GB2312" w:hAnsi="仿宋_GB2312" w:eastAsia="仿宋_GB2312" w:cs="仿宋_GB2312"/>
          <w:bCs/>
          <w:color w:val="auto"/>
          <w:sz w:val="32"/>
          <w:szCs w:val="32"/>
          <w:highlight w:val="none"/>
          <w:u w:val="none" w:color="auto"/>
          <w:lang w:val="en-US" w:eastAsia="zh-CN"/>
        </w:rPr>
        <w:t>5</w:t>
      </w:r>
      <w:r>
        <w:rPr>
          <w:rFonts w:hint="eastAsia" w:ascii="仿宋_GB2312" w:hAnsi="仿宋_GB2312" w:eastAsia="仿宋_GB2312" w:cs="仿宋_GB2312"/>
          <w:bCs/>
          <w:color w:val="auto"/>
          <w:sz w:val="32"/>
          <w:szCs w:val="32"/>
          <w:highlight w:val="none"/>
          <w:u w:val="none" w:color="auto"/>
        </w:rPr>
        <w:t>〕</w:t>
      </w:r>
      <w:r>
        <w:rPr>
          <w:rFonts w:hint="eastAsia" w:ascii="仿宋_GB2312" w:hAnsi="仿宋_GB2312" w:eastAsia="仿宋_GB2312" w:cs="仿宋_GB2312"/>
          <w:bCs/>
          <w:color w:val="auto"/>
          <w:sz w:val="32"/>
          <w:szCs w:val="32"/>
          <w:highlight w:val="none"/>
          <w:u w:val="none" w:color="auto"/>
          <w:lang w:val="en-US" w:eastAsia="zh-CN"/>
        </w:rPr>
        <w:t>145</w:t>
      </w:r>
      <w:r>
        <w:rPr>
          <w:rFonts w:hint="eastAsia" w:ascii="仿宋_GB2312" w:hAnsi="仿宋_GB2312" w:eastAsia="仿宋_GB2312" w:cs="仿宋_GB2312"/>
          <w:bCs/>
          <w:color w:val="auto"/>
          <w:sz w:val="32"/>
          <w:szCs w:val="32"/>
          <w:highlight w:val="none"/>
          <w:u w:val="none" w:color="auto"/>
        </w:rPr>
        <w:t>号），告知当事人我局拟作出行政处罚的事实、理由、依据、处罚内容及享有的权利。</w:t>
      </w:r>
      <w:r>
        <w:rPr>
          <w:rFonts w:hint="eastAsia" w:ascii="仿宋_GB2312" w:hAnsi="仿宋_GB2312" w:eastAsia="仿宋_GB2312" w:cs="仿宋_GB2312"/>
          <w:bCs/>
          <w:color w:val="auto"/>
          <w:kern w:val="0"/>
          <w:sz w:val="32"/>
          <w:szCs w:val="32"/>
          <w:highlight w:val="none"/>
          <w:u w:val="none" w:color="auto"/>
          <w:lang w:val="en-US" w:eastAsia="zh-CN" w:bidi="ar-SA"/>
        </w:rPr>
        <w:t>当事人在法定期限内未向我局提出陈述、申辩。</w:t>
      </w:r>
    </w:p>
    <w:p w14:paraId="5C2E8D03">
      <w:pPr>
        <w:pStyle w:val="2"/>
        <w:keepNext w:val="0"/>
        <w:keepLines w:val="0"/>
        <w:pageBreakBefore w:val="0"/>
        <w:kinsoku/>
        <w:wordWrap/>
        <w:overflowPunct/>
        <w:topLinePunct w:val="0"/>
        <w:bidi w:val="0"/>
        <w:snapToGrid/>
        <w:spacing w:line="500" w:lineRule="exact"/>
        <w:ind w:firstLine="640" w:firstLineChars="200"/>
        <w:jc w:val="both"/>
        <w:rPr>
          <w:rFonts w:hint="eastAsia" w:hAnsi="仿宋_GB2312" w:cs="仿宋_GB2312"/>
          <w:color w:val="auto"/>
          <w:kern w:val="2"/>
          <w:sz w:val="32"/>
          <w:szCs w:val="32"/>
          <w:u w:val="none" w:color="auto"/>
          <w:lang w:val="en-US" w:eastAsia="zh-CN" w:bidi="ar-SA"/>
        </w:rPr>
      </w:pPr>
      <w:r>
        <w:rPr>
          <w:rFonts w:hint="eastAsia" w:hAnsi="仿宋_GB2312" w:cs="仿宋_GB2312"/>
          <w:color w:val="auto"/>
          <w:kern w:val="2"/>
          <w:sz w:val="32"/>
          <w:szCs w:val="32"/>
          <w:u w:val="none" w:color="auto"/>
          <w:lang w:val="en-US" w:eastAsia="zh-CN" w:bidi="ar-SA"/>
        </w:rPr>
        <w:t>当事人</w:t>
      </w:r>
      <w:r>
        <w:rPr>
          <w:rFonts w:hint="eastAsia" w:hAnsi="仿宋" w:cs="仿宋"/>
          <w:color w:val="auto"/>
          <w:sz w:val="32"/>
          <w:szCs w:val="32"/>
          <w:highlight w:val="none"/>
          <w:u w:val="none" w:color="auto"/>
          <w:lang w:val="en-US" w:eastAsia="zh-CN"/>
        </w:rPr>
        <w:t>未</w:t>
      </w:r>
      <w:r>
        <w:rPr>
          <w:rFonts w:hint="eastAsia" w:hAnsi="仿宋_GB2312" w:cs="仿宋_GB2312"/>
          <w:color w:val="auto"/>
          <w:sz w:val="32"/>
          <w:szCs w:val="32"/>
          <w:highlight w:val="none"/>
          <w:u w:val="none" w:color="auto"/>
          <w:lang w:val="en-US" w:eastAsia="zh-CN"/>
        </w:rPr>
        <w:t>对</w:t>
      </w:r>
      <w:r>
        <w:rPr>
          <w:rFonts w:hint="eastAsia" w:ascii="仿宋_GB2312" w:hAnsi="仿宋_GB2312" w:eastAsia="仿宋_GB2312" w:cs="仿宋_GB2312"/>
          <w:color w:val="auto"/>
          <w:sz w:val="32"/>
          <w:szCs w:val="32"/>
          <w:highlight w:val="none"/>
          <w:u w:val="none" w:color="auto"/>
          <w:lang w:val="en-US" w:eastAsia="zh-CN"/>
        </w:rPr>
        <w:t>采购的食品原料、食品添加剂进行进货查验并记录相关信息的行为，违反了《中华人民共和国食品安全法》第五十条</w:t>
      </w:r>
      <w:r>
        <w:rPr>
          <w:rFonts w:hint="eastAsia" w:ascii="仿宋_GB2312" w:hAnsi="仿宋_GB2312" w:eastAsia="仿宋_GB2312" w:cs="仿宋_GB2312"/>
          <w:color w:val="auto"/>
          <w:kern w:val="2"/>
          <w:sz w:val="32"/>
          <w:szCs w:val="32"/>
          <w:u w:val="none" w:color="auto"/>
          <w:lang w:val="en-US" w:eastAsia="zh-CN" w:bidi="ar-SA"/>
        </w:rPr>
        <w:t>的规定，</w:t>
      </w:r>
      <w:r>
        <w:rPr>
          <w:rFonts w:hint="eastAsia" w:hAnsi="仿宋_GB2312" w:cs="仿宋_GB2312"/>
          <w:color w:val="auto"/>
          <w:kern w:val="2"/>
          <w:sz w:val="32"/>
          <w:szCs w:val="32"/>
          <w:u w:val="none" w:color="auto"/>
          <w:lang w:val="en-US" w:eastAsia="zh-CN" w:bidi="ar-SA"/>
        </w:rPr>
        <w:t>属于未按规定履行进货查验义务并</w:t>
      </w:r>
      <w:r>
        <w:rPr>
          <w:rFonts w:hint="eastAsia" w:ascii="仿宋_GB2312" w:hAnsi="仿宋_GB2312" w:eastAsia="仿宋_GB2312" w:cs="仿宋_GB2312"/>
          <w:bCs/>
          <w:color w:val="auto"/>
          <w:sz w:val="32"/>
          <w:szCs w:val="32"/>
          <w:lang w:val="en-US" w:eastAsia="zh-CN"/>
        </w:rPr>
        <w:t>建立进货查验记录</w:t>
      </w:r>
      <w:r>
        <w:rPr>
          <w:rFonts w:hint="eastAsia" w:hAnsi="仿宋_GB2312" w:cs="仿宋_GB2312"/>
          <w:color w:val="auto"/>
          <w:kern w:val="2"/>
          <w:sz w:val="32"/>
          <w:szCs w:val="32"/>
          <w:u w:val="none" w:color="auto"/>
          <w:lang w:val="en-US" w:eastAsia="zh-CN" w:bidi="ar-SA"/>
        </w:rPr>
        <w:t>的行为。</w:t>
      </w:r>
    </w:p>
    <w:p w14:paraId="5E7A5958">
      <w:pPr>
        <w:pStyle w:val="2"/>
        <w:keepNext w:val="0"/>
        <w:keepLines w:val="0"/>
        <w:pageBreakBefore w:val="0"/>
        <w:kinsoku/>
        <w:wordWrap/>
        <w:overflowPunct/>
        <w:topLinePunct w:val="0"/>
        <w:bidi w:val="0"/>
        <w:snapToGrid/>
        <w:spacing w:line="500" w:lineRule="exact"/>
        <w:ind w:firstLine="640" w:firstLineChars="200"/>
        <w:jc w:val="both"/>
        <w:rPr>
          <w:rFonts w:hint="eastAsia" w:hAnsi="仿宋_GB2312" w:cs="仿宋_GB2312"/>
          <w:color w:val="auto"/>
          <w:sz w:val="32"/>
          <w:szCs w:val="32"/>
          <w:highlight w:val="none"/>
          <w:u w:val="none" w:color="auto"/>
          <w:lang w:val="en-US" w:eastAsia="zh-CN"/>
        </w:rPr>
      </w:pPr>
      <w:r>
        <w:rPr>
          <w:rFonts w:hint="eastAsia" w:hAnsi="仿宋_GB2312" w:cs="仿宋_GB2312"/>
          <w:color w:val="auto"/>
          <w:kern w:val="2"/>
          <w:sz w:val="32"/>
          <w:szCs w:val="32"/>
          <w:u w:val="none" w:color="auto"/>
          <w:lang w:val="en-US" w:eastAsia="zh-CN" w:bidi="ar-SA"/>
        </w:rPr>
        <w:t>当事人将</w:t>
      </w:r>
      <w:r>
        <w:rPr>
          <w:rFonts w:hint="eastAsia" w:ascii="仿宋_GB2312" w:hAnsi="仿宋_GB2312" w:eastAsia="仿宋_GB2312" w:cs="仿宋_GB2312"/>
          <w:color w:val="auto"/>
          <w:sz w:val="32"/>
          <w:szCs w:val="32"/>
          <w:highlight w:val="none"/>
          <w:u w:val="none" w:color="auto"/>
          <w:lang w:val="en-US" w:eastAsia="zh-CN"/>
        </w:rPr>
        <w:t>食品添加剂和普通食品混放</w:t>
      </w:r>
      <w:r>
        <w:rPr>
          <w:rFonts w:hint="eastAsia" w:hAnsi="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加工间吊顶破损</w:t>
      </w:r>
      <w:r>
        <w:rPr>
          <w:rFonts w:hint="eastAsia" w:hAnsi="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val="en-US" w:eastAsia="zh-CN"/>
        </w:rPr>
        <w:t>吐司机上放置记录本</w:t>
      </w:r>
      <w:r>
        <w:rPr>
          <w:rFonts w:hint="eastAsia" w:hAnsi="仿宋_GB2312" w:cs="仿宋_GB2312"/>
          <w:color w:val="auto"/>
          <w:sz w:val="32"/>
          <w:szCs w:val="32"/>
          <w:highlight w:val="none"/>
          <w:u w:val="none" w:color="auto"/>
          <w:lang w:val="en-US" w:eastAsia="zh-CN"/>
        </w:rPr>
        <w:t>的行为</w:t>
      </w:r>
      <w:r>
        <w:rPr>
          <w:rFonts w:hint="eastAsia" w:ascii="仿宋_GB2312" w:hAnsi="仿宋_GB2312" w:eastAsia="仿宋_GB2312" w:cs="仿宋_GB2312"/>
          <w:color w:val="auto"/>
          <w:sz w:val="32"/>
          <w:szCs w:val="32"/>
          <w:highlight w:val="none"/>
          <w:u w:val="none" w:color="auto"/>
          <w:lang w:val="en-US" w:eastAsia="zh-CN"/>
        </w:rPr>
        <w:t>，</w:t>
      </w:r>
      <w:r>
        <w:rPr>
          <w:rFonts w:hint="eastAsia" w:hAnsi="仿宋_GB2312" w:cs="仿宋_GB2312"/>
          <w:color w:val="auto"/>
          <w:kern w:val="2"/>
          <w:sz w:val="32"/>
          <w:szCs w:val="32"/>
          <w:highlight w:val="none"/>
          <w:u w:val="none" w:color="auto"/>
          <w:lang w:val="en-US" w:eastAsia="zh-CN" w:bidi="ar-SA"/>
        </w:rPr>
        <w:t>不符合</w:t>
      </w:r>
      <w:r>
        <w:rPr>
          <w:rFonts w:hint="eastAsia" w:ascii="仿宋_GB2312" w:hAnsi="仿宋_GB2312" w:eastAsia="仿宋_GB2312" w:cs="仿宋_GB2312"/>
          <w:color w:val="auto"/>
          <w:kern w:val="2"/>
          <w:sz w:val="32"/>
          <w:szCs w:val="32"/>
          <w:highlight w:val="none"/>
          <w:u w:val="none" w:color="auto"/>
          <w:lang w:val="en-US" w:eastAsia="zh-CN" w:bidi="ar-SA"/>
        </w:rPr>
        <w:t>GB14881-2013《</w:t>
      </w:r>
      <w:r>
        <w:rPr>
          <w:rFonts w:hint="eastAsia" w:hAnsi="仿宋_GB2312" w:cs="仿宋_GB2312"/>
          <w:color w:val="auto"/>
          <w:kern w:val="2"/>
          <w:sz w:val="32"/>
          <w:szCs w:val="32"/>
          <w:highlight w:val="none"/>
          <w:u w:val="none" w:color="auto"/>
          <w:lang w:val="en-US" w:eastAsia="zh-CN" w:bidi="ar-SA"/>
        </w:rPr>
        <w:t xml:space="preserve">食品安全国家标准 </w:t>
      </w:r>
      <w:r>
        <w:rPr>
          <w:rFonts w:hint="eastAsia" w:ascii="仿宋_GB2312" w:hAnsi="仿宋_GB2312" w:eastAsia="仿宋_GB2312" w:cs="仿宋_GB2312"/>
          <w:color w:val="auto"/>
          <w:kern w:val="2"/>
          <w:sz w:val="32"/>
          <w:szCs w:val="32"/>
          <w:highlight w:val="none"/>
          <w:u w:val="none" w:color="auto"/>
          <w:lang w:val="en-US" w:eastAsia="zh-CN" w:bidi="ar-SA"/>
        </w:rPr>
        <w:t>食品</w:t>
      </w:r>
      <w:r>
        <w:rPr>
          <w:rFonts w:hint="eastAsia" w:ascii="仿宋_GB2312" w:hAnsi="仿宋_GB2312" w:eastAsia="仿宋_GB2312" w:cs="仿宋_GB2312"/>
          <w:color w:val="auto"/>
          <w:kern w:val="2"/>
          <w:sz w:val="32"/>
          <w:szCs w:val="32"/>
          <w:u w:val="none" w:color="auto"/>
          <w:lang w:val="en-US" w:eastAsia="zh-CN" w:bidi="ar-SA"/>
        </w:rPr>
        <w:t>生产</w:t>
      </w:r>
      <w:r>
        <w:rPr>
          <w:rFonts w:hint="eastAsia" w:ascii="仿宋_GB2312" w:hAnsi="仿宋_GB2312" w:eastAsia="仿宋_GB2312" w:cs="仿宋_GB2312"/>
          <w:color w:val="auto"/>
          <w:kern w:val="2"/>
          <w:sz w:val="32"/>
          <w:szCs w:val="32"/>
          <w:highlight w:val="none"/>
          <w:u w:val="none" w:color="auto"/>
          <w:lang w:val="en-US" w:eastAsia="zh-CN" w:bidi="ar-SA"/>
        </w:rPr>
        <w:t>通用卫生规范》</w:t>
      </w:r>
      <w:r>
        <w:rPr>
          <w:rFonts w:hint="eastAsia" w:hAnsi="仿宋_GB2312" w:cs="仿宋_GB2312"/>
          <w:color w:val="auto"/>
          <w:kern w:val="2"/>
          <w:sz w:val="32"/>
          <w:szCs w:val="32"/>
          <w:highlight w:val="none"/>
          <w:u w:val="none" w:color="auto"/>
          <w:lang w:val="en-US" w:eastAsia="zh-CN" w:bidi="ar-SA"/>
        </w:rPr>
        <w:t>8.3.6“食品添加剂、清洁剂、消毒剂等均应采用适宜的容器妥善保存，且应明显标示、分类贮存；领用时应准确计量、作好使用记录”、</w:t>
      </w:r>
      <w:r>
        <w:rPr>
          <w:rFonts w:hint="eastAsia" w:ascii="仿宋_GB2312" w:hAnsi="仿宋_GB2312" w:eastAsia="仿宋_GB2312" w:cs="仿宋_GB2312"/>
          <w:color w:val="auto"/>
          <w:sz w:val="32"/>
          <w:szCs w:val="32"/>
          <w:highlight w:val="none"/>
          <w:u w:val="none" w:color="auto"/>
          <w:lang w:val="en-US" w:eastAsia="zh-CN"/>
        </w:rPr>
        <w:t>6.2.1“厂房内各项设施应保持清洁，出现问题及时维修或更新；厂房地面、屋顶、天花板及墙壁有破损时，应及时修补。”</w:t>
      </w:r>
      <w:r>
        <w:rPr>
          <w:rFonts w:hint="eastAsia" w:ascii="仿宋_GB2312" w:hAnsi="仿宋_GB2312" w:eastAsia="仿宋_GB2312" w:cs="仿宋_GB2312"/>
          <w:color w:val="auto"/>
          <w:kern w:val="2"/>
          <w:sz w:val="32"/>
          <w:szCs w:val="32"/>
          <w:highlight w:val="none"/>
          <w:u w:val="none" w:color="auto"/>
          <w:lang w:val="en-US" w:eastAsia="zh-CN" w:bidi="ar-SA"/>
        </w:rPr>
        <w:t>的规定</w:t>
      </w:r>
      <w:r>
        <w:rPr>
          <w:rFonts w:hint="eastAsia" w:hAnsi="仿宋_GB2312" w:cs="仿宋_GB2312"/>
          <w:color w:val="auto"/>
          <w:kern w:val="2"/>
          <w:sz w:val="32"/>
          <w:szCs w:val="32"/>
          <w:highlight w:val="none"/>
          <w:u w:val="none" w:color="auto"/>
          <w:lang w:val="en-US" w:eastAsia="zh-CN" w:bidi="ar-SA"/>
        </w:rPr>
        <w:t>，</w:t>
      </w:r>
      <w:r>
        <w:rPr>
          <w:rFonts w:hint="eastAsia" w:hAnsi="仿宋_GB2312" w:cs="仿宋_GB2312"/>
          <w:color w:val="auto"/>
          <w:sz w:val="32"/>
          <w:szCs w:val="32"/>
          <w:highlight w:val="none"/>
          <w:u w:val="none" w:color="auto"/>
          <w:lang w:val="en-US" w:eastAsia="zh-CN"/>
        </w:rPr>
        <w:t>违反了《中华人民共和国食品安全法实施条例》第七十条</w:t>
      </w:r>
      <w:r>
        <w:rPr>
          <w:rFonts w:hint="eastAsia" w:ascii="仿宋_GB2312" w:hAnsi="仿宋_GB2312" w:eastAsia="仿宋_GB2312" w:cs="仿宋_GB2312"/>
          <w:color w:val="auto"/>
          <w:kern w:val="2"/>
          <w:sz w:val="32"/>
          <w:szCs w:val="32"/>
          <w:highlight w:val="none"/>
          <w:u w:val="none" w:color="auto"/>
          <w:lang w:val="en-US" w:eastAsia="zh-CN" w:bidi="ar-SA"/>
        </w:rPr>
        <w:t>的规定</w:t>
      </w:r>
      <w:r>
        <w:rPr>
          <w:rFonts w:hint="eastAsia" w:hAnsi="仿宋_GB2312" w:cs="仿宋_GB2312"/>
          <w:color w:val="auto"/>
          <w:sz w:val="32"/>
          <w:szCs w:val="32"/>
          <w:highlight w:val="none"/>
          <w:u w:val="none" w:color="auto"/>
          <w:lang w:val="en-US" w:eastAsia="zh-CN"/>
        </w:rPr>
        <w:t>，属于生产经营行为不符合有关食品生产经营过程要求的食品安全国家标准的行为。</w:t>
      </w:r>
    </w:p>
    <w:p w14:paraId="03ADEF7C">
      <w:pPr>
        <w:pStyle w:val="2"/>
        <w:keepNext w:val="0"/>
        <w:keepLines w:val="0"/>
        <w:pageBreakBefore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auto"/>
          <w:kern w:val="2"/>
          <w:sz w:val="32"/>
          <w:szCs w:val="32"/>
          <w:u w:val="none" w:color="auto"/>
          <w:lang w:val="en-US" w:eastAsia="zh-CN" w:bidi="ar-SA"/>
        </w:rPr>
      </w:pPr>
      <w:r>
        <w:rPr>
          <w:rFonts w:hint="default" w:ascii="Times New Roman" w:hAnsi="Times New Roman" w:eastAsia="仿宋_GB2312" w:cs="Times New Roman"/>
          <w:color w:val="auto"/>
          <w:sz w:val="32"/>
          <w:szCs w:val="32"/>
        </w:rPr>
        <w:t>当事人在案件调查过程中积极配合，如实陈述违法事实，主动减轻违法行为的危害后果，具有市场监管总局《关于规范市场监督管理行政处罚裁量权的指导意见》第十四条第一款第二项规定的依法从轻或者减轻行政处罚的情形。</w:t>
      </w:r>
      <w:r>
        <w:rPr>
          <w:rFonts w:hint="eastAsia" w:ascii="仿宋_GB2312" w:hAnsi="仿宋_GB2312" w:eastAsia="仿宋_GB2312" w:cs="仿宋_GB2312"/>
          <w:color w:val="auto"/>
          <w:sz w:val="32"/>
          <w:szCs w:val="32"/>
          <w:highlight w:val="none"/>
          <w:u w:val="none" w:color="auto"/>
          <w:lang w:val="en-US" w:eastAsia="zh-CN"/>
        </w:rPr>
        <w:t>鉴于当事人于2025年3月19日因未对采购的食品原料及食品添加剂进行进货查验并记录相关信息被我局责令于2025年4月2日前改正，并给予警告的行政处罚后，于2025年6月25日检查时该行为仍未改正，属于拒不改正的情形，</w:t>
      </w:r>
      <w:r>
        <w:rPr>
          <w:rFonts w:hint="eastAsia" w:ascii="仿宋_GB2312" w:hAnsi="仿宋_GB2312" w:eastAsia="仿宋_GB2312" w:cs="仿宋_GB2312"/>
          <w:bCs/>
          <w:color w:val="auto"/>
          <w:sz w:val="32"/>
          <w:szCs w:val="32"/>
          <w:u w:val="none"/>
          <w:lang w:val="en-US" w:eastAsia="zh-CN"/>
        </w:rPr>
        <w:t>参照</w:t>
      </w:r>
      <w:r>
        <w:rPr>
          <w:rFonts w:hint="eastAsia" w:ascii="仿宋_GB2312" w:hAnsi="仿宋_GB2312" w:eastAsia="仿宋_GB2312" w:cs="仿宋_GB2312"/>
          <w:b w:val="0"/>
          <w:bCs w:val="0"/>
          <w:color w:val="auto"/>
          <w:sz w:val="32"/>
          <w:szCs w:val="32"/>
          <w:u w:val="none"/>
          <w:lang w:val="en-US" w:eastAsia="zh-CN"/>
        </w:rPr>
        <w:t>《广西壮族自治区市场监督管理行政处罚裁量基准（2023版）》中《食品安全法》行政处罚裁量基准从轻处罚适用情形的规定，依据《中华人民共和国行政处罚法》第五条、第六条的规定，我局决定给予当事人</w:t>
      </w:r>
      <w:r>
        <w:rPr>
          <w:rFonts w:hint="eastAsia" w:ascii="仿宋_GB2312" w:hAnsi="仿宋_GB2312" w:eastAsia="仿宋_GB2312" w:cs="仿宋_GB2312"/>
          <w:color w:val="auto"/>
          <w:kern w:val="2"/>
          <w:sz w:val="32"/>
          <w:szCs w:val="32"/>
          <w:u w:val="none" w:color="auto"/>
          <w:lang w:val="en-US" w:eastAsia="zh-CN" w:bidi="ar-SA"/>
        </w:rPr>
        <w:t>从轻行政处罚。</w:t>
      </w:r>
    </w:p>
    <w:p w14:paraId="75E56F75">
      <w:pPr>
        <w:pStyle w:val="6"/>
        <w:keepNext w:val="0"/>
        <w:keepLines w:val="0"/>
        <w:pageBreakBefore w:val="0"/>
        <w:widowControl w:val="0"/>
        <w:shd w:val="clear" w:color="auto" w:fill="FFFFFF"/>
        <w:kinsoku/>
        <w:wordWrap/>
        <w:overflowPunct/>
        <w:topLinePunct w:val="0"/>
        <w:bidi w:val="0"/>
        <w:snapToGrid/>
        <w:spacing w:beforeAutospacing="0" w:afterAutospacing="0" w:line="500" w:lineRule="exact"/>
        <w:ind w:left="0" w:leftChars="0" w:right="0" w:rightChars="0" w:firstLine="640" w:firstLineChars="200"/>
        <w:jc w:val="both"/>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highlight w:val="none"/>
          <w:u w:val="none" w:color="auto"/>
          <w:lang w:val="en-US" w:eastAsia="zh-CN" w:bidi="ar-SA"/>
        </w:rPr>
        <w:t>当事人生产经营行为不符合有关食品生产经营过程要求的食品安全国家标准的行为，依据《中华人民共和国食品安全法》第一百二十六条第一款第十三项的规定，</w:t>
      </w:r>
      <w:r>
        <w:rPr>
          <w:rFonts w:hint="eastAsia" w:ascii="仿宋_GB2312" w:hAnsi="仿宋_GB2312" w:eastAsia="仿宋_GB2312" w:cs="仿宋_GB2312"/>
          <w:color w:val="auto"/>
          <w:kern w:val="2"/>
          <w:sz w:val="32"/>
          <w:szCs w:val="32"/>
          <w:u w:val="none" w:color="auto"/>
          <w:lang w:val="en-US" w:eastAsia="zh-CN" w:bidi="ar-SA"/>
        </w:rPr>
        <w:t>我局决定责令当事人</w:t>
      </w:r>
      <w:r>
        <w:rPr>
          <w:rFonts w:hint="eastAsia" w:ascii="仿宋_GB2312" w:hAnsi="仿宋_GB2312" w:eastAsia="仿宋_GB2312" w:cs="仿宋_GB2312"/>
          <w:color w:val="auto"/>
          <w:kern w:val="2"/>
          <w:sz w:val="32"/>
          <w:szCs w:val="32"/>
          <w:highlight w:val="none"/>
          <w:u w:val="none" w:color="auto"/>
          <w:lang w:val="en-US" w:eastAsia="zh-CN" w:bidi="ar-SA"/>
        </w:rPr>
        <w:t>立即改正该违法行为，并给予警告的行政处罚。</w:t>
      </w:r>
    </w:p>
    <w:p w14:paraId="1FCB938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当事人未按规定履行进货查验义务并</w:t>
      </w:r>
      <w:r>
        <w:rPr>
          <w:rFonts w:hint="eastAsia" w:ascii="仿宋_GB2312" w:hAnsi="仿宋_GB2312" w:eastAsia="仿宋_GB2312" w:cs="仿宋_GB2312"/>
          <w:bCs/>
          <w:color w:val="auto"/>
          <w:sz w:val="32"/>
          <w:szCs w:val="32"/>
          <w:lang w:val="en-US" w:eastAsia="zh-CN"/>
        </w:rPr>
        <w:t>建立进货查验记录</w:t>
      </w:r>
      <w:r>
        <w:rPr>
          <w:rFonts w:hint="eastAsia" w:ascii="仿宋_GB2312" w:hAnsi="仿宋_GB2312" w:eastAsia="仿宋_GB2312" w:cs="仿宋_GB2312"/>
          <w:color w:val="auto"/>
          <w:kern w:val="2"/>
          <w:sz w:val="32"/>
          <w:szCs w:val="32"/>
          <w:u w:val="none" w:color="auto"/>
          <w:lang w:val="en-US" w:eastAsia="zh-CN" w:bidi="ar-SA"/>
        </w:rPr>
        <w:t>的行为，依据《中华人民共和国食品安全法》第一百二十六条第一款第三项的规定，我局决定责令当事人立即改正该违法行为，并给予罚款6000元的行政处罚。</w:t>
      </w:r>
    </w:p>
    <w:p w14:paraId="009B39F5">
      <w:pPr>
        <w:pStyle w:val="6"/>
        <w:keepNext w:val="0"/>
        <w:keepLines w:val="0"/>
        <w:pageBreakBefore w:val="0"/>
        <w:widowControl w:val="0"/>
        <w:shd w:val="clear" w:color="auto" w:fill="FFFFFF"/>
        <w:kinsoku/>
        <w:wordWrap/>
        <w:overflowPunct/>
        <w:topLinePunct w:val="0"/>
        <w:bidi w:val="0"/>
        <w:snapToGrid/>
        <w:spacing w:beforeAutospacing="0" w:after="0" w:afterAutospacing="0" w:line="500" w:lineRule="exact"/>
        <w:ind w:firstLine="640" w:firstLineChars="200"/>
        <w:jc w:val="both"/>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综上，我局决定责令当事人立即改正上述违法行为，并给予以下行政处罚：</w:t>
      </w:r>
    </w:p>
    <w:p w14:paraId="66FB1361">
      <w:pPr>
        <w:pStyle w:val="6"/>
        <w:keepNext w:val="0"/>
        <w:keepLines w:val="0"/>
        <w:pageBreakBefore w:val="0"/>
        <w:widowControl w:val="0"/>
        <w:shd w:val="clear" w:color="auto" w:fill="FFFFFF"/>
        <w:kinsoku/>
        <w:wordWrap/>
        <w:overflowPunct/>
        <w:topLinePunct w:val="0"/>
        <w:bidi w:val="0"/>
        <w:snapToGrid/>
        <w:spacing w:beforeAutospacing="0" w:after="0" w:afterAutospacing="0" w:line="500" w:lineRule="exact"/>
        <w:ind w:firstLine="640" w:firstLineChars="200"/>
        <w:jc w:val="both"/>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1.警告；</w:t>
      </w:r>
    </w:p>
    <w:p w14:paraId="03A383F1">
      <w:pPr>
        <w:pStyle w:val="6"/>
        <w:keepNext w:val="0"/>
        <w:keepLines w:val="0"/>
        <w:pageBreakBefore w:val="0"/>
        <w:widowControl w:val="0"/>
        <w:shd w:val="clear" w:color="auto" w:fill="FFFFFF"/>
        <w:kinsoku/>
        <w:wordWrap/>
        <w:overflowPunct/>
        <w:topLinePunct w:val="0"/>
        <w:bidi w:val="0"/>
        <w:snapToGrid/>
        <w:spacing w:beforeAutospacing="0" w:after="0" w:afterAutospacing="0" w:line="500" w:lineRule="exact"/>
        <w:ind w:firstLine="640" w:firstLineChars="200"/>
        <w:jc w:val="both"/>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color w:val="auto"/>
          <w:kern w:val="2"/>
          <w:sz w:val="32"/>
          <w:szCs w:val="32"/>
          <w:u w:val="none" w:color="auto"/>
          <w:lang w:val="en-US" w:eastAsia="zh-CN" w:bidi="ar-SA"/>
        </w:rPr>
        <w:t>2.罚款人民币6000元。</w:t>
      </w:r>
      <w:r>
        <w:rPr>
          <w:rFonts w:hint="eastAsia" w:ascii="仿宋_GB2312" w:hAnsi="仿宋_GB2312" w:eastAsia="仿宋_GB2312" w:cs="仿宋_GB2312"/>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 xml:space="preserve"> </w:t>
      </w:r>
    </w:p>
    <w:p w14:paraId="29DB5849">
      <w:pPr>
        <w:pStyle w:val="3"/>
        <w:keepNext w:val="0"/>
        <w:keepLines w:val="0"/>
        <w:pageBreakBefore w:val="0"/>
        <w:widowControl w:val="0"/>
        <w:tabs>
          <w:tab w:val="left" w:pos="8395"/>
        </w:tabs>
        <w:kinsoku/>
        <w:wordWrap/>
        <w:overflowPunct/>
        <w:topLinePunct w:val="0"/>
        <w:bidi w:val="0"/>
        <w:snapToGrid/>
        <w:spacing w:line="56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当事人应当自收到本行政处罚决定书之日起十五日内，凭《广西壮族自治区非税收入电子缴款通知书》到中国建设银行缴纳罚款。逾期不缴纳罚款的，依据《中华人民共和国行政处罚法》第七十二条的规定，我局将每日按罚款数额的百分之三加处罚款，并依法申请人民法院强制执行。</w:t>
      </w:r>
    </w:p>
    <w:p w14:paraId="3BC6A02F">
      <w:pPr>
        <w:pStyle w:val="3"/>
        <w:keepNext w:val="0"/>
        <w:keepLines w:val="0"/>
        <w:pageBreakBefore w:val="0"/>
        <w:widowControl w:val="0"/>
        <w:tabs>
          <w:tab w:val="left" w:pos="8395"/>
        </w:tabs>
        <w:kinsoku/>
        <w:wordWrap/>
        <w:overflowPunct/>
        <w:topLinePunct w:val="0"/>
        <w:bidi w:val="0"/>
        <w:snapToGrid/>
        <w:spacing w:line="560" w:lineRule="exact"/>
        <w:ind w:firstLine="627" w:firstLineChars="196"/>
        <w:jc w:val="both"/>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bCs/>
          <w:color w:val="auto"/>
          <w:sz w:val="32"/>
          <w:szCs w:val="32"/>
          <w:u w:val="none" w:color="auto"/>
        </w:rPr>
        <w:t>当事人如不服本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处罚决定，可在接到本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处罚决定书之日起60日内向柳州市柳北区人民政府申请行政复议，也可以于6个月内依法向柳州市柳</w:t>
      </w:r>
      <w:r>
        <w:rPr>
          <w:rFonts w:hint="eastAsia" w:ascii="仿宋_GB2312" w:hAnsi="仿宋_GB2312" w:eastAsia="仿宋_GB2312" w:cs="仿宋_GB2312"/>
          <w:bCs/>
          <w:color w:val="auto"/>
          <w:sz w:val="32"/>
          <w:szCs w:val="32"/>
          <w:u w:val="none" w:color="auto"/>
          <w:lang w:eastAsia="zh-CN"/>
        </w:rPr>
        <w:t>南</w:t>
      </w:r>
      <w:r>
        <w:rPr>
          <w:rFonts w:hint="eastAsia" w:ascii="仿宋_GB2312" w:hAnsi="仿宋_GB2312" w:eastAsia="仿宋_GB2312" w:cs="仿宋_GB2312"/>
          <w:bCs/>
          <w:color w:val="auto"/>
          <w:sz w:val="32"/>
          <w:szCs w:val="32"/>
          <w:u w:val="none" w:color="auto"/>
        </w:rPr>
        <w:t>区人民法院提起行政诉讼。申请行政复议或者提起行政诉讼期间，行政处罚不停止执</w:t>
      </w:r>
      <w:r>
        <w:rPr>
          <w:rFonts w:hint="eastAsia" w:ascii="仿宋_GB2312" w:hAnsi="仿宋_GB2312" w:eastAsia="仿宋_GB2312" w:cs="仿宋_GB2312"/>
          <w:bCs/>
          <w:color w:val="auto"/>
          <w:sz w:val="32"/>
          <w:szCs w:val="32"/>
          <w:u w:val="none" w:color="auto"/>
          <w:lang w:eastAsia="zh-CN"/>
        </w:rPr>
        <w:t>行。</w:t>
      </w:r>
      <w:r>
        <w:rPr>
          <w:rFonts w:hint="eastAsia" w:ascii="仿宋_GB2312" w:hAnsi="仿宋_GB2312" w:eastAsia="仿宋_GB2312" w:cs="仿宋_GB2312"/>
          <w:b/>
          <w:color w:val="auto"/>
          <w:sz w:val="32"/>
          <w:szCs w:val="32"/>
          <w:u w:val="none" w:color="auto"/>
        </w:rPr>
        <w:tab/>
      </w:r>
    </w:p>
    <w:p w14:paraId="7EE40D2F">
      <w:pPr>
        <w:pStyle w:val="2"/>
        <w:keepNext w:val="0"/>
        <w:keepLines w:val="0"/>
        <w:pageBreakBefore w:val="0"/>
        <w:kinsoku/>
        <w:wordWrap/>
        <w:overflowPunct/>
        <w:topLinePunct w:val="0"/>
        <w:bidi w:val="0"/>
        <w:snapToGrid/>
        <w:spacing w:line="440" w:lineRule="exact"/>
        <w:textAlignment w:val="auto"/>
        <w:rPr>
          <w:rFonts w:hint="eastAsia" w:ascii="Times New Roman" w:hAnsi="Times New Roman" w:eastAsia="仿宋_GB2312" w:cs="仿宋_GB2312"/>
          <w:color w:val="auto"/>
          <w:sz w:val="32"/>
          <w:szCs w:val="32"/>
          <w:lang w:eastAsia="zh-CN"/>
        </w:rPr>
      </w:pPr>
    </w:p>
    <w:p w14:paraId="29794BBE">
      <w:pPr>
        <w:pStyle w:val="2"/>
        <w:keepNext w:val="0"/>
        <w:keepLines w:val="0"/>
        <w:pageBreakBefore w:val="0"/>
        <w:kinsoku/>
        <w:wordWrap/>
        <w:overflowPunct/>
        <w:topLinePunct w:val="0"/>
        <w:bidi w:val="0"/>
        <w:snapToGrid/>
        <w:spacing w:line="440" w:lineRule="exact"/>
        <w:textAlignment w:val="auto"/>
        <w:rPr>
          <w:rFonts w:hint="eastAsia" w:ascii="Times New Roman" w:hAnsi="Times New Roman" w:eastAsia="仿宋_GB2312" w:cs="仿宋_GB2312"/>
          <w:color w:val="auto"/>
          <w:sz w:val="32"/>
          <w:szCs w:val="32"/>
          <w:lang w:eastAsia="zh-CN"/>
        </w:rPr>
      </w:pPr>
    </w:p>
    <w:p w14:paraId="7FAB7052">
      <w:pPr>
        <w:keepNext w:val="0"/>
        <w:keepLines w:val="0"/>
        <w:pageBreakBefore w:val="0"/>
        <w:kinsoku/>
        <w:wordWrap/>
        <w:overflowPunct/>
        <w:topLinePunct w:val="0"/>
        <w:bidi w:val="0"/>
        <w:snapToGrid/>
        <w:spacing w:line="440" w:lineRule="exact"/>
        <w:ind w:right="640" w:firstLine="601"/>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p>
    <w:p w14:paraId="7EA8424C">
      <w:pPr>
        <w:keepNext w:val="0"/>
        <w:keepLines w:val="0"/>
        <w:pageBreakBefore w:val="0"/>
        <w:kinsoku/>
        <w:wordWrap/>
        <w:overflowPunct/>
        <w:topLinePunct w:val="0"/>
        <w:bidi w:val="0"/>
        <w:snapToGrid/>
        <w:spacing w:line="440" w:lineRule="exact"/>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柳州市柳北区</w:t>
      </w:r>
      <w:r>
        <w:rPr>
          <w:rFonts w:hint="eastAsia" w:ascii="Times New Roman" w:hAnsi="Times New Roman" w:eastAsia="仿宋_GB2312" w:cs="仿宋"/>
          <w:color w:val="auto"/>
          <w:sz w:val="32"/>
          <w:szCs w:val="32"/>
        </w:rPr>
        <w:t xml:space="preserve">市场监督管理局    </w:t>
      </w:r>
    </w:p>
    <w:p w14:paraId="2E80181C">
      <w:pPr>
        <w:keepNext w:val="0"/>
        <w:keepLines w:val="0"/>
        <w:pageBreakBefore w:val="0"/>
        <w:kinsoku/>
        <w:wordWrap/>
        <w:overflowPunct/>
        <w:topLinePunct w:val="0"/>
        <w:bidi w:val="0"/>
        <w:snapToGrid/>
        <w:spacing w:line="440" w:lineRule="exact"/>
        <w:ind w:right="1280" w:firstLine="600"/>
        <w:jc w:val="center"/>
        <w:textAlignment w:val="auto"/>
        <w:rPr>
          <w:rFonts w:hint="eastAsia" w:ascii="仿宋_GB2312" w:hAnsi="Times New Roman" w:eastAsia="仿宋_GB2312" w:cs="仿宋"/>
          <w:color w:val="auto"/>
          <w:sz w:val="32"/>
          <w:szCs w:val="32"/>
        </w:rPr>
      </w:pPr>
      <w:r>
        <w:rPr>
          <w:rFonts w:hint="eastAsia" w:ascii="仿宋_GB2312" w:hAnsi="Times New Roman" w:eastAsia="仿宋_GB2312" w:cs="仿宋"/>
          <w:color w:val="auto"/>
          <w:sz w:val="32"/>
          <w:szCs w:val="32"/>
          <w:lang w:val="en-US" w:eastAsia="zh-CN"/>
        </w:rPr>
        <w:t xml:space="preserve">                        2025</w:t>
      </w:r>
      <w:r>
        <w:rPr>
          <w:rFonts w:hint="eastAsia" w:ascii="仿宋_GB2312" w:hAnsi="Times New Roman" w:eastAsia="仿宋_GB2312" w:cs="仿宋"/>
          <w:color w:val="auto"/>
          <w:sz w:val="32"/>
          <w:szCs w:val="32"/>
        </w:rPr>
        <w:t>年</w:t>
      </w:r>
      <w:r>
        <w:rPr>
          <w:rFonts w:hint="eastAsia" w:ascii="仿宋_GB2312" w:hAnsi="Times New Roman" w:eastAsia="仿宋_GB2312" w:cs="仿宋"/>
          <w:color w:val="auto"/>
          <w:sz w:val="32"/>
          <w:szCs w:val="32"/>
          <w:lang w:val="en-US" w:eastAsia="zh-CN"/>
        </w:rPr>
        <w:t>9</w:t>
      </w:r>
      <w:r>
        <w:rPr>
          <w:rFonts w:hint="eastAsia" w:ascii="仿宋_GB2312" w:hAnsi="Times New Roman" w:eastAsia="仿宋_GB2312" w:cs="仿宋"/>
          <w:color w:val="auto"/>
          <w:sz w:val="32"/>
          <w:szCs w:val="32"/>
        </w:rPr>
        <w:t>月</w:t>
      </w:r>
      <w:r>
        <w:rPr>
          <w:rFonts w:hint="eastAsia" w:ascii="仿宋_GB2312" w:hAnsi="Times New Roman" w:eastAsia="仿宋_GB2312" w:cs="仿宋"/>
          <w:color w:val="auto"/>
          <w:sz w:val="32"/>
          <w:szCs w:val="32"/>
          <w:lang w:val="en-US" w:eastAsia="zh-CN"/>
        </w:rPr>
        <w:t>18</w:t>
      </w:r>
      <w:r>
        <w:rPr>
          <w:rFonts w:hint="eastAsia" w:ascii="仿宋_GB2312" w:hAnsi="Times New Roman" w:eastAsia="仿宋_GB2312" w:cs="仿宋"/>
          <w:color w:val="auto"/>
          <w:sz w:val="32"/>
          <w:szCs w:val="32"/>
        </w:rPr>
        <w:t xml:space="preserve">日  </w:t>
      </w:r>
    </w:p>
    <w:p w14:paraId="45964AF6">
      <w:pPr>
        <w:pStyle w:val="2"/>
        <w:keepNext w:val="0"/>
        <w:keepLines w:val="0"/>
        <w:pageBreakBefore w:val="0"/>
        <w:kinsoku/>
        <w:wordWrap/>
        <w:overflowPunct/>
        <w:topLinePunct w:val="0"/>
        <w:bidi w:val="0"/>
        <w:snapToGrid/>
        <w:spacing w:line="440" w:lineRule="exact"/>
        <w:rPr>
          <w:rFonts w:hint="eastAsia" w:ascii="仿宋_GB2312" w:hAnsi="Times New Roman" w:eastAsia="仿宋_GB2312" w:cs="仿宋"/>
          <w:color w:val="auto"/>
          <w:sz w:val="32"/>
          <w:szCs w:val="32"/>
        </w:rPr>
      </w:pPr>
    </w:p>
    <w:p w14:paraId="57FC51FE">
      <w:pPr>
        <w:pStyle w:val="2"/>
        <w:keepNext w:val="0"/>
        <w:keepLines w:val="0"/>
        <w:pageBreakBefore w:val="0"/>
        <w:kinsoku/>
        <w:wordWrap/>
        <w:overflowPunct/>
        <w:topLinePunct w:val="0"/>
        <w:bidi w:val="0"/>
        <w:snapToGrid/>
        <w:spacing w:line="440" w:lineRule="exact"/>
        <w:rPr>
          <w:rFonts w:hint="eastAsia" w:ascii="仿宋_GB2312" w:hAnsi="Times New Roman" w:eastAsia="仿宋_GB2312" w:cs="仿宋"/>
          <w:color w:val="auto"/>
          <w:sz w:val="32"/>
          <w:szCs w:val="32"/>
        </w:rPr>
      </w:pPr>
    </w:p>
    <w:p w14:paraId="79408772">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50937231">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3FB7DE9">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6FFBFE63">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23C00692">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87A804D">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0E4753D">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AA3DDF5">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505741D7">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Times New Roman" w:hAnsi="Times New Roman" w:eastAsia="仿宋_GB2312" w:cs="Mongolian Baiti"/>
          <w:color w:val="auto"/>
          <w:sz w:val="32"/>
          <w:szCs w:val="32"/>
          <w:u w:val="single"/>
        </w:rPr>
      </w:pPr>
      <w:r>
        <w:rPr>
          <w:rFonts w:hint="eastAsia" w:ascii="黑体" w:hAnsi="黑体" w:eastAsia="黑体"/>
          <w:color w:val="auto"/>
          <w:spacing w:val="-16"/>
        </w:rPr>
        <w:t>（市场监督管理部门将依法向社会公开行政处罚决定信息）</w:t>
      </w:r>
    </w:p>
    <w:p w14:paraId="6C11788F">
      <w:pPr>
        <w:keepNext w:val="0"/>
        <w:keepLines w:val="0"/>
        <w:pageBreakBefore w:val="0"/>
        <w:kinsoku/>
        <w:wordWrap/>
        <w:overflowPunct/>
        <w:topLinePunct w:val="0"/>
        <w:bidi w:val="0"/>
        <w:snapToGrid/>
        <w:spacing w:line="440" w:lineRule="exact"/>
        <w:textAlignment w:val="auto"/>
        <w:rPr>
          <w:color w:val="auto"/>
          <w:sz w:val="32"/>
          <w:szCs w:val="32"/>
        </w:rPr>
      </w:pPr>
      <w:r>
        <w:rPr>
          <w:rFonts w:ascii="Times New Roman" w:hAnsi="Times New Roman" w:eastAsia="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lang w:eastAsia="zh-CN"/>
        </w:rPr>
        <w:t>一份</w:t>
      </w:r>
      <w:r>
        <w:rPr>
          <w:rFonts w:hint="eastAsia" w:ascii="仿宋_GB2312" w:hAnsi="仿宋_GB2312" w:eastAsia="仿宋_GB2312" w:cs="仿宋_GB2312"/>
          <w:color w:val="auto"/>
          <w:sz w:val="32"/>
          <w:szCs w:val="32"/>
        </w:rPr>
        <w:t>办案单位留存</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6F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21873">
                          <w:pPr>
                            <w:pStyle w:val="4"/>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421873">
                    <w:pPr>
                      <w:pStyle w:val="4"/>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ea5c78d4-87cf-4dd3-8a3e-a1e19f7715e5"/>
  </w:docVars>
  <w:rsids>
    <w:rsidRoot w:val="00000000"/>
    <w:rsid w:val="02541B61"/>
    <w:rsid w:val="02B16677"/>
    <w:rsid w:val="02C96B46"/>
    <w:rsid w:val="04A732AF"/>
    <w:rsid w:val="04F53EA0"/>
    <w:rsid w:val="06241521"/>
    <w:rsid w:val="062478C3"/>
    <w:rsid w:val="064050F4"/>
    <w:rsid w:val="064E7A50"/>
    <w:rsid w:val="06823AB2"/>
    <w:rsid w:val="077A4051"/>
    <w:rsid w:val="08832305"/>
    <w:rsid w:val="0A025FF9"/>
    <w:rsid w:val="0AA61F2C"/>
    <w:rsid w:val="0AD96E3F"/>
    <w:rsid w:val="0B756CA4"/>
    <w:rsid w:val="0B790AC0"/>
    <w:rsid w:val="0BB743C6"/>
    <w:rsid w:val="0BF42E58"/>
    <w:rsid w:val="0C1C4BE8"/>
    <w:rsid w:val="0DFF5585"/>
    <w:rsid w:val="0E586CD2"/>
    <w:rsid w:val="0EF1220A"/>
    <w:rsid w:val="0EF63EBF"/>
    <w:rsid w:val="0FCE4B75"/>
    <w:rsid w:val="101B23FC"/>
    <w:rsid w:val="10B0731E"/>
    <w:rsid w:val="10B36ECA"/>
    <w:rsid w:val="10D1683B"/>
    <w:rsid w:val="10FD5E9D"/>
    <w:rsid w:val="111343CC"/>
    <w:rsid w:val="11440BE5"/>
    <w:rsid w:val="116F3C27"/>
    <w:rsid w:val="12930265"/>
    <w:rsid w:val="13714672"/>
    <w:rsid w:val="14075E37"/>
    <w:rsid w:val="143D2AC1"/>
    <w:rsid w:val="15AF4F21"/>
    <w:rsid w:val="15B7232D"/>
    <w:rsid w:val="16035473"/>
    <w:rsid w:val="167B3370"/>
    <w:rsid w:val="16D26242"/>
    <w:rsid w:val="16D9323E"/>
    <w:rsid w:val="179802C4"/>
    <w:rsid w:val="17A23D36"/>
    <w:rsid w:val="18A90101"/>
    <w:rsid w:val="18D92F68"/>
    <w:rsid w:val="19412584"/>
    <w:rsid w:val="197079DD"/>
    <w:rsid w:val="199B5E35"/>
    <w:rsid w:val="1A805353"/>
    <w:rsid w:val="1B0F6F0E"/>
    <w:rsid w:val="1B611A21"/>
    <w:rsid w:val="1D297C66"/>
    <w:rsid w:val="1E8C21A0"/>
    <w:rsid w:val="1F2D0BF9"/>
    <w:rsid w:val="1FF770AA"/>
    <w:rsid w:val="2023144C"/>
    <w:rsid w:val="203330E1"/>
    <w:rsid w:val="21016FB2"/>
    <w:rsid w:val="216E53E7"/>
    <w:rsid w:val="217F3DB2"/>
    <w:rsid w:val="22432092"/>
    <w:rsid w:val="23241235"/>
    <w:rsid w:val="233E1DDF"/>
    <w:rsid w:val="240065CD"/>
    <w:rsid w:val="245D7719"/>
    <w:rsid w:val="2499461A"/>
    <w:rsid w:val="24CE7073"/>
    <w:rsid w:val="25630683"/>
    <w:rsid w:val="260B417C"/>
    <w:rsid w:val="261B3491"/>
    <w:rsid w:val="26312EA6"/>
    <w:rsid w:val="269375FB"/>
    <w:rsid w:val="26B84614"/>
    <w:rsid w:val="26CE352F"/>
    <w:rsid w:val="27353013"/>
    <w:rsid w:val="27AC7A9A"/>
    <w:rsid w:val="28595077"/>
    <w:rsid w:val="2892191C"/>
    <w:rsid w:val="28C50E71"/>
    <w:rsid w:val="28DB7AC6"/>
    <w:rsid w:val="291C1880"/>
    <w:rsid w:val="2A01211E"/>
    <w:rsid w:val="2A443FBA"/>
    <w:rsid w:val="2BB027FE"/>
    <w:rsid w:val="2BF92F32"/>
    <w:rsid w:val="2C761602"/>
    <w:rsid w:val="2CB35CAF"/>
    <w:rsid w:val="2D122D03"/>
    <w:rsid w:val="2D5B273B"/>
    <w:rsid w:val="2E6C1A85"/>
    <w:rsid w:val="2E860788"/>
    <w:rsid w:val="2EA71FFD"/>
    <w:rsid w:val="2F064D76"/>
    <w:rsid w:val="2FA304B5"/>
    <w:rsid w:val="2FDD7BBA"/>
    <w:rsid w:val="2FFF534B"/>
    <w:rsid w:val="305F11FB"/>
    <w:rsid w:val="30EC0EA4"/>
    <w:rsid w:val="31674969"/>
    <w:rsid w:val="31892082"/>
    <w:rsid w:val="31A42251"/>
    <w:rsid w:val="31C732E4"/>
    <w:rsid w:val="32491A0D"/>
    <w:rsid w:val="326A2A2B"/>
    <w:rsid w:val="326D0948"/>
    <w:rsid w:val="32BD19CC"/>
    <w:rsid w:val="331C0520"/>
    <w:rsid w:val="335608C6"/>
    <w:rsid w:val="34657618"/>
    <w:rsid w:val="348979BE"/>
    <w:rsid w:val="34DA5145"/>
    <w:rsid w:val="3538685D"/>
    <w:rsid w:val="358024D4"/>
    <w:rsid w:val="361779AA"/>
    <w:rsid w:val="38850644"/>
    <w:rsid w:val="38982C55"/>
    <w:rsid w:val="39F913A9"/>
    <w:rsid w:val="3AB55594"/>
    <w:rsid w:val="3B8A40BE"/>
    <w:rsid w:val="3BC90719"/>
    <w:rsid w:val="3C52023A"/>
    <w:rsid w:val="3DCB426D"/>
    <w:rsid w:val="3E3E1AA8"/>
    <w:rsid w:val="3F27452A"/>
    <w:rsid w:val="3F32479F"/>
    <w:rsid w:val="40BB77E8"/>
    <w:rsid w:val="414C642D"/>
    <w:rsid w:val="41B44B58"/>
    <w:rsid w:val="4218487C"/>
    <w:rsid w:val="421B0F77"/>
    <w:rsid w:val="42201C89"/>
    <w:rsid w:val="434B5EF3"/>
    <w:rsid w:val="44B2026F"/>
    <w:rsid w:val="456D29DF"/>
    <w:rsid w:val="459B4B14"/>
    <w:rsid w:val="47E51E85"/>
    <w:rsid w:val="494F1CD3"/>
    <w:rsid w:val="49B36A6C"/>
    <w:rsid w:val="49CF7426"/>
    <w:rsid w:val="4AB0699D"/>
    <w:rsid w:val="4AE50836"/>
    <w:rsid w:val="4CDF7201"/>
    <w:rsid w:val="4D49197D"/>
    <w:rsid w:val="4D934EF9"/>
    <w:rsid w:val="4E675CA0"/>
    <w:rsid w:val="4E933C6D"/>
    <w:rsid w:val="4EF038F7"/>
    <w:rsid w:val="4FDA1433"/>
    <w:rsid w:val="50550198"/>
    <w:rsid w:val="505B02E5"/>
    <w:rsid w:val="507535F6"/>
    <w:rsid w:val="507E45E1"/>
    <w:rsid w:val="50B30973"/>
    <w:rsid w:val="510123FD"/>
    <w:rsid w:val="51CD7431"/>
    <w:rsid w:val="51E46AE7"/>
    <w:rsid w:val="526D277E"/>
    <w:rsid w:val="52D518F2"/>
    <w:rsid w:val="52D74DF5"/>
    <w:rsid w:val="53C36AC1"/>
    <w:rsid w:val="53DF57FB"/>
    <w:rsid w:val="53FB6E47"/>
    <w:rsid w:val="544B5FDC"/>
    <w:rsid w:val="55EC5708"/>
    <w:rsid w:val="55F77A24"/>
    <w:rsid w:val="5714516A"/>
    <w:rsid w:val="57391B27"/>
    <w:rsid w:val="585C2D7F"/>
    <w:rsid w:val="5BBC0880"/>
    <w:rsid w:val="5C435D6C"/>
    <w:rsid w:val="5F697E0F"/>
    <w:rsid w:val="5FB83932"/>
    <w:rsid w:val="5FDC58EE"/>
    <w:rsid w:val="60EB3FF3"/>
    <w:rsid w:val="6154443F"/>
    <w:rsid w:val="617321F1"/>
    <w:rsid w:val="61D76693"/>
    <w:rsid w:val="623E23D2"/>
    <w:rsid w:val="62435FD6"/>
    <w:rsid w:val="635600D3"/>
    <w:rsid w:val="63E5787D"/>
    <w:rsid w:val="64100E4A"/>
    <w:rsid w:val="643A7124"/>
    <w:rsid w:val="64E7057C"/>
    <w:rsid w:val="65095250"/>
    <w:rsid w:val="66F827B4"/>
    <w:rsid w:val="676E7F3D"/>
    <w:rsid w:val="67D50BE7"/>
    <w:rsid w:val="6857373E"/>
    <w:rsid w:val="68F42A0B"/>
    <w:rsid w:val="69200C09"/>
    <w:rsid w:val="69412CAE"/>
    <w:rsid w:val="6B44508B"/>
    <w:rsid w:val="6BFE110F"/>
    <w:rsid w:val="6CC27A7A"/>
    <w:rsid w:val="6CE62238"/>
    <w:rsid w:val="6DF1016C"/>
    <w:rsid w:val="6EB03D33"/>
    <w:rsid w:val="6F4D45A8"/>
    <w:rsid w:val="6F5732EA"/>
    <w:rsid w:val="6F6D294A"/>
    <w:rsid w:val="6F9B5FA9"/>
    <w:rsid w:val="70FC402A"/>
    <w:rsid w:val="714806A6"/>
    <w:rsid w:val="71CD4FC5"/>
    <w:rsid w:val="7364055E"/>
    <w:rsid w:val="73E221E3"/>
    <w:rsid w:val="75026D05"/>
    <w:rsid w:val="755A0A19"/>
    <w:rsid w:val="76A74E38"/>
    <w:rsid w:val="76C15E94"/>
    <w:rsid w:val="775D10E3"/>
    <w:rsid w:val="77E138BA"/>
    <w:rsid w:val="78D42B0C"/>
    <w:rsid w:val="78F965AB"/>
    <w:rsid w:val="79FD5342"/>
    <w:rsid w:val="7A3E1E9F"/>
    <w:rsid w:val="7A8D0CBE"/>
    <w:rsid w:val="7AD27B31"/>
    <w:rsid w:val="7BA72CEC"/>
    <w:rsid w:val="7BEA6C58"/>
    <w:rsid w:val="7D1C02CF"/>
    <w:rsid w:val="7DC33B6A"/>
    <w:rsid w:val="7DC355E5"/>
    <w:rsid w:val="7E5960EB"/>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1987</Words>
  <Characters>2120</Characters>
  <Lines>0</Lines>
  <Paragraphs>0</Paragraphs>
  <TotalTime>7</TotalTime>
  <ScaleCrop>false</ScaleCrop>
  <LinksUpToDate>false</LinksUpToDate>
  <CharactersWithSpaces>2376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河谷镇</cp:lastModifiedBy>
  <cp:lastPrinted>2021-09-30T03:23:00Z</cp:lastPrinted>
  <dcterms:modified xsi:type="dcterms:W3CDTF">2025-09-22T03:16:39Z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2961DB0BFD9F4F7EA8C9058B3ED1C7F7</vt:lpwstr>
  </property>
  <property fmtid="{D5CDD505-2E9C-101B-9397-08002B2CF9AE}" pid="4" name="KSOTemplateDocerSaveRecord">
    <vt:lpwstr>eyJoZGlkIjoiNjljYzBiNmJkNjNmYjA3MDkwNzQ4ZTM5NDc1MTY5NDgiLCJ1c2VySWQiOiI0OTg3NTAzNTcifQ==</vt:lpwstr>
  </property>
</Properties>
</file>