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14666">
      <w:pPr>
        <w:spacing w:line="56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u w:val="none"/>
          <w:lang w:eastAsia="zh-CN"/>
        </w:rPr>
        <w:t>柳州市</w:t>
      </w:r>
      <w:r>
        <w:rPr>
          <w:rFonts w:hint="default" w:ascii="方正小标宋简体" w:hAnsi="方正小标宋简体" w:eastAsia="方正小标宋简体" w:cs="方正小标宋简体"/>
          <w:color w:val="auto"/>
          <w:sz w:val="44"/>
        </w:rPr>
        <w:t>柳北区市场监督管理局</w:t>
      </w:r>
      <w:bookmarkEnd w:id="0"/>
    </w:p>
    <w:p w14:paraId="4FD5F7FA">
      <w:pPr>
        <w:spacing w:line="560" w:lineRule="exact"/>
        <w:jc w:val="center"/>
        <w:outlineLvl w:val="0"/>
        <w:rPr>
          <w:rFonts w:ascii="Times New Roman" w:hAnsi="Times New Roman" w:eastAsia="方正小标宋简体" w:cs="Mongolian Baiti"/>
          <w:bCs/>
          <w:color w:val="auto"/>
          <w:sz w:val="44"/>
          <w:szCs w:val="44"/>
        </w:rPr>
      </w:pPr>
      <w:bookmarkStart w:id="1" w:name="_Toc76683366"/>
      <w:r>
        <w:rPr>
          <w:rFonts w:ascii="Times New Roman" w:hAnsi="Mongolian Baiti" w:eastAsia="方正小标宋简体" w:cs="Mongolian Baiti"/>
          <w:bCs/>
          <w:color w:val="auto"/>
          <w:sz w:val="44"/>
          <w:szCs w:val="44"/>
        </w:rPr>
        <w:t>行政处罚决定书</w:t>
      </w:r>
      <w:bookmarkEnd w:id="1"/>
    </w:p>
    <w:p w14:paraId="0D6C4BA1">
      <w:pPr>
        <w:spacing w:line="420" w:lineRule="exact"/>
        <w:jc w:val="center"/>
        <w:rPr>
          <w:rFonts w:hint="eastAsia" w:ascii="仿宋" w:hAnsi="仿宋" w:eastAsia="仿宋" w:cs="仿宋"/>
          <w:color w:val="auto"/>
          <w:sz w:val="32"/>
          <w:szCs w:val="32"/>
          <w:lang w:val="en-US" w:eastAsia="zh-CN"/>
        </w:rPr>
      </w:pPr>
      <w:bookmarkStart w:id="2" w:name="tAj_wh"/>
      <w:r>
        <w:rPr>
          <w:rFonts w:hint="eastAsia" w:ascii="仿宋" w:hAnsi="仿宋" w:eastAsia="仿宋" w:cs="仿宋"/>
          <w:color w:val="auto"/>
          <w:sz w:val="32"/>
          <w:szCs w:val="32"/>
          <w:lang w:val="en-US" w:eastAsia="zh-CN"/>
        </w:rPr>
        <w:t>柳北市监处罚〔2026〕107号</w:t>
      </w:r>
      <w:bookmarkEnd w:id="2"/>
    </w:p>
    <w:p w14:paraId="1F54602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当事人：</w:t>
      </w:r>
      <w:r>
        <w:rPr>
          <w:rFonts w:hint="eastAsia" w:ascii="仿宋_GB2312" w:hAnsi="仿宋_GB2312" w:eastAsia="仿宋_GB2312" w:cs="仿宋_GB2312"/>
          <w:color w:val="auto"/>
          <w:sz w:val="32"/>
          <w:szCs w:val="32"/>
          <w:lang w:val="en-US" w:eastAsia="zh-CN"/>
        </w:rPr>
        <w:t>柳州市柳北区胜利宏力社区卫生服务中心</w:t>
      </w:r>
      <w:r>
        <w:rPr>
          <w:rFonts w:hint="eastAsia" w:ascii="仿宋_GB2312" w:hAnsi="仿宋_GB2312" w:eastAsia="仿宋_GB2312" w:cs="仿宋_GB2312"/>
          <w:color w:val="auto"/>
          <w:sz w:val="32"/>
          <w:szCs w:val="32"/>
          <w:u w:val="none"/>
          <w:lang w:val="en-US" w:eastAsia="zh-CN"/>
        </w:rPr>
        <w:t xml:space="preserve">        </w:t>
      </w:r>
    </w:p>
    <w:p w14:paraId="5DE4B20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主体资格证照名称：</w:t>
      </w:r>
      <w:r>
        <w:rPr>
          <w:rFonts w:hint="eastAsia" w:ascii="仿宋" w:hAnsi="仿宋" w:eastAsia="仿宋" w:cs="仿宋"/>
          <w:color w:val="auto"/>
          <w:sz w:val="32"/>
          <w:szCs w:val="32"/>
          <w:lang w:val="en-US" w:eastAsia="zh-CN"/>
        </w:rPr>
        <w:t>医疗机构执业许可证</w:t>
      </w:r>
      <w:r>
        <w:rPr>
          <w:rFonts w:hint="eastAsia" w:ascii="仿宋_GB2312" w:hAnsi="仿宋_GB2312" w:eastAsia="仿宋_GB2312" w:cs="仿宋_GB2312"/>
          <w:color w:val="auto"/>
          <w:sz w:val="32"/>
          <w:szCs w:val="32"/>
          <w:u w:val="none"/>
          <w:lang w:val="en-US" w:eastAsia="zh-CN"/>
        </w:rPr>
        <w:t xml:space="preserve">                                </w:t>
      </w:r>
    </w:p>
    <w:p w14:paraId="3B00BC2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color w:val="auto"/>
          <w:sz w:val="32"/>
          <w:szCs w:val="32"/>
          <w:u w:val="none"/>
          <w:lang w:val="en-US" w:eastAsia="zh-CN"/>
        </w:rPr>
      </w:pPr>
      <w:r>
        <w:rPr>
          <w:rFonts w:hint="eastAsia" w:ascii="仿宋" w:hAnsi="仿宋" w:eastAsia="仿宋" w:cs="仿宋"/>
          <w:color w:val="auto"/>
          <w:sz w:val="32"/>
          <w:szCs w:val="32"/>
          <w:lang w:val="en-US" w:eastAsia="zh-CN"/>
        </w:rPr>
        <w:t>登记号：PDY00412-545020519B1001-13</w:t>
      </w:r>
      <w:r>
        <w:rPr>
          <w:rFonts w:hint="eastAsia" w:ascii="仿宋_GB2312" w:hAnsi="仿宋_GB2312" w:eastAsia="仿宋_GB2312" w:cs="仿宋_GB2312"/>
          <w:color w:val="auto"/>
          <w:sz w:val="32"/>
          <w:szCs w:val="32"/>
          <w:u w:val="none"/>
          <w:lang w:val="en-US" w:eastAsia="zh-CN"/>
        </w:rPr>
        <w:t xml:space="preserve">                           </w:t>
      </w:r>
    </w:p>
    <w:p w14:paraId="653B36C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地址</w:t>
      </w:r>
      <w:r>
        <w:rPr>
          <w:rFonts w:hint="eastAsia" w:ascii="仿宋" w:hAnsi="仿宋" w:eastAsia="仿宋" w:cs="仿宋"/>
          <w:color w:val="auto"/>
          <w:sz w:val="32"/>
          <w:szCs w:val="32"/>
          <w:u w:val="none"/>
          <w:lang w:val="en-US" w:eastAsia="zh-CN"/>
        </w:rPr>
        <w:t>：</w:t>
      </w:r>
      <w:r>
        <w:rPr>
          <w:rFonts w:hint="eastAsia" w:ascii="仿宋" w:hAnsi="仿宋" w:eastAsia="仿宋" w:cs="仿宋"/>
          <w:color w:val="auto"/>
          <w:sz w:val="32"/>
          <w:szCs w:val="32"/>
          <w:lang w:val="en-US" w:eastAsia="zh-CN"/>
        </w:rPr>
        <w:t>柳州市北雀路67号</w:t>
      </w:r>
    </w:p>
    <w:p w14:paraId="314C9138">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color w:val="auto"/>
          <w:sz w:val="32"/>
          <w:szCs w:val="32"/>
          <w:lang w:val="en-US" w:eastAsia="zh-CN"/>
        </w:rPr>
      </w:pPr>
      <w:r>
        <w:rPr>
          <w:rFonts w:hint="eastAsia" w:ascii="仿宋_GB2312" w:hAnsi="仿宋_GB2312" w:eastAsia="仿宋_GB2312" w:cs="仿宋_GB2312"/>
          <w:color w:val="auto"/>
          <w:sz w:val="32"/>
          <w:szCs w:val="32"/>
          <w:u w:val="none"/>
          <w:lang w:val="en-US" w:eastAsia="zh-CN"/>
        </w:rPr>
        <w:t>法定代表人:</w:t>
      </w:r>
      <w:r>
        <w:rPr>
          <w:rFonts w:hint="eastAsia" w:ascii="仿宋" w:hAnsi="仿宋" w:eastAsia="仿宋" w:cs="仿宋"/>
          <w:color w:val="auto"/>
          <w:sz w:val="32"/>
          <w:szCs w:val="32"/>
          <w:lang w:val="en-US" w:eastAsia="zh-CN"/>
        </w:rPr>
        <w:t>袁志刚</w:t>
      </w:r>
    </w:p>
    <w:p w14:paraId="3E8C7B47">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身份证件号码：</w:t>
      </w:r>
      <w:r>
        <w:rPr>
          <w:rFonts w:hint="eastAsia" w:ascii="仿宋" w:hAnsi="仿宋" w:eastAsia="仿宋" w:cs="仿宋"/>
          <w:color w:val="auto"/>
          <w:sz w:val="32"/>
          <w:szCs w:val="32"/>
          <w:lang w:val="en-US" w:eastAsia="zh-CN"/>
        </w:rPr>
        <w:t>*</w:t>
      </w:r>
      <w:r>
        <w:rPr>
          <w:rFonts w:hint="eastAsia" w:ascii="仿宋_GB2312" w:eastAsia="仿宋_GB2312" w:cs="Times New Roman"/>
          <w:color w:val="auto"/>
          <w:sz w:val="32"/>
          <w:szCs w:val="32"/>
          <w:u w:val="none"/>
          <w:lang w:val="en-US" w:eastAsia="zh-CN"/>
        </w:rPr>
        <w:t xml:space="preserve"> </w:t>
      </w:r>
      <w:r>
        <w:rPr>
          <w:rFonts w:hint="eastAsia" w:ascii="仿宋" w:hAnsi="仿宋" w:eastAsia="仿宋" w:cs="仿宋"/>
          <w:color w:val="auto"/>
          <w:kern w:val="2"/>
          <w:sz w:val="32"/>
          <w:szCs w:val="32"/>
          <w:lang w:val="en-US" w:eastAsia="zh-CN" w:bidi="ar-SA"/>
        </w:rPr>
        <w:t xml:space="preserve">  </w:t>
      </w:r>
      <w:r>
        <w:rPr>
          <w:rFonts w:hint="eastAsia" w:ascii="仿宋_GB2312" w:hAnsi="仿宋_GB2312" w:eastAsia="仿宋_GB2312" w:cs="仿宋_GB2312"/>
          <w:color w:val="auto"/>
          <w:sz w:val="32"/>
          <w:szCs w:val="32"/>
          <w:u w:val="none"/>
          <w:lang w:val="en-US" w:eastAsia="zh-CN"/>
        </w:rPr>
        <w:t xml:space="preserve">                                            </w:t>
      </w:r>
    </w:p>
    <w:p w14:paraId="7C3E916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 xml:space="preserve">  </w:t>
      </w:r>
    </w:p>
    <w:p w14:paraId="339D178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bookmarkStart w:id="3" w:name="OLE_LINK8"/>
      <w:r>
        <w:rPr>
          <w:rFonts w:hint="default" w:ascii="仿宋" w:hAnsi="仿宋" w:eastAsia="仿宋" w:cs="仿宋"/>
          <w:color w:val="auto"/>
          <w:sz w:val="32"/>
          <w:szCs w:val="32"/>
          <w:lang w:val="en-US" w:eastAsia="zh-CN"/>
        </w:rPr>
        <w:t>2026年1月28日，我局收到《柳州市市场监督管理局问题线索移送函》（柳市监价竞交〔2026〕1 号）及案件相关材料显示，</w:t>
      </w:r>
      <w:r>
        <w:rPr>
          <w:rFonts w:hint="eastAsia" w:ascii="仿宋" w:hAnsi="仿宋" w:eastAsia="仿宋" w:cs="仿宋"/>
          <w:color w:val="auto"/>
          <w:sz w:val="32"/>
          <w:szCs w:val="32"/>
          <w:lang w:val="en-US" w:eastAsia="zh-CN"/>
        </w:rPr>
        <w:t>柳州市柳北区胜利宏力社区卫生服务中心</w:t>
      </w:r>
      <w:r>
        <w:rPr>
          <w:rFonts w:hint="default" w:ascii="仿宋" w:hAnsi="仿宋" w:eastAsia="仿宋" w:cs="仿宋"/>
          <w:color w:val="auto"/>
          <w:sz w:val="32"/>
          <w:szCs w:val="32"/>
          <w:lang w:val="en-US" w:eastAsia="zh-CN"/>
        </w:rPr>
        <w:t>对大于6岁患者收取6岁以下项目并纳入医保结算，涉嫌不执行政府指导价，违反了《中华人民共和国价格法》第十二条之规定</w:t>
      </w:r>
      <w:bookmarkStart w:id="4" w:name="aydjnr_spyj"/>
      <w:bookmarkEnd w:id="4"/>
      <w:r>
        <w:rPr>
          <w:rFonts w:hint="eastAsia" w:ascii="仿宋" w:hAnsi="仿宋" w:eastAsia="仿宋" w:cs="仿宋"/>
          <w:color w:val="auto"/>
          <w:sz w:val="32"/>
          <w:szCs w:val="32"/>
          <w:lang w:val="en-US" w:eastAsia="zh-CN"/>
        </w:rPr>
        <w:t>，2026年3月17日，本局依法对当事人不执行政府指导价的行为立案调查。</w:t>
      </w:r>
    </w:p>
    <w:p w14:paraId="4628EA9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经查，根据广西壮族自治区医疗保障局关于印发《广西医疗服务项目价格（2021年版）》的通知：《广西医疗服务项目价格（2021年版）》中的医疗服务价格项目，是对公立医疗卫生机构开展的现行医疗服务价格项目的统一归并和规范，全区各级公立医疗卫生机构必须按照所列价格项目提供相应的医疗服务，并按其中的项目编码、项目名称、项目内涵、除外内容、计价单位和说明进行管理。非营利性非公立医疗机构应参照《广西医疗服务项目价格（2021年版）》中的医疗服务价格项目提供医疗服务……当事人属于非营利性非公立的社区卫生服务中心（一级）。2023年1月1日至2025年6月期间，当事人在为患者提供医疗服务过程中,存在按照6岁及以下患者的收费标准，收取大于6岁患者医疗服务项目费用的情况，共多收了941.5元。当事人于2026年1月22日按照《2025年审计“跑冒滴漏”专项医保基金清退明细表》，将包含上述多收价款的违规基金足额清退，于2026年4月1日清退了涉及个人自费部分多收价款163.44元，剩余84.05元涉及个人自费部分的多收价款因患者放弃退费或未能联系上相关患者而无法清退。</w:t>
      </w:r>
    </w:p>
    <w:p w14:paraId="682AEA7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上述事实，主要有以下证据证明：</w:t>
      </w:r>
    </w:p>
    <w:p w14:paraId="203591E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当事人的《医疗机构执业许可证》复印件一份，法定代表人《居民身份证》复印件一份，广西柳州化工控股有限公司营业执照复印件及《情况说明》各一份，《授权委托书》及受委托人《居民身份证》复印件各一份，证明当事人从事医疗卫生服务的主体资格及法定代表人、受委托人的身份信息。</w:t>
      </w:r>
    </w:p>
    <w:p w14:paraId="4ACD36F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2.《现场笔录》（2026年3月18日）一份，《询问笔录》一份、</w:t>
      </w:r>
      <w:bookmarkStart w:id="5" w:name="OLE_LINK2"/>
      <w:r>
        <w:rPr>
          <w:rFonts w:hint="eastAsia" w:ascii="仿宋" w:hAnsi="仿宋" w:eastAsia="仿宋" w:cs="仿宋"/>
          <w:color w:val="auto"/>
          <w:sz w:val="32"/>
          <w:szCs w:val="32"/>
          <w:lang w:val="en-US" w:eastAsia="zh-CN"/>
        </w:rPr>
        <w:t>《2025年11月柳州市“跑冒滴漏”审计六岁以上使用六岁以下项目》一份</w:t>
      </w:r>
      <w:bookmarkEnd w:id="5"/>
      <w:r>
        <w:rPr>
          <w:rFonts w:hint="eastAsia" w:ascii="仿宋" w:hAnsi="仿宋" w:eastAsia="仿宋" w:cs="仿宋"/>
          <w:color w:val="auto"/>
          <w:sz w:val="32"/>
          <w:szCs w:val="32"/>
          <w:lang w:val="en-US" w:eastAsia="zh-CN"/>
        </w:rPr>
        <w:t>、涉案九个项目各取一名患者资料，其中六名患者的《门诊病历》、《收费清单》及《缴费单》各一份，三名患者的《入院记录》、《患者费用清单》及《缴费单》各一份。证明当事人存在未按《广西医疗服务项目价格(2021年版)》、《桂医保发【2023】28号》及《桂医保规【2024】1号》的规定多收取患者医疗服务项目费用的情况。</w:t>
      </w:r>
    </w:p>
    <w:p w14:paraId="5FA57D8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2025年11月柳州市“跑冒滴漏”审计六岁以上使用六岁以下项目清退款情况明细》一份，退款截图（5页）一份，现场领取患者签字表一份，《2025年审计“跑冒滴漏”专项医保基金清退明细表》一份，2025年审计“跑冒滴漏”专项费用退款明细回单8份，证明当事人已经将多收价款的违规基金足额清退，和清退涉及个人自费部分的情况。</w:t>
      </w:r>
    </w:p>
    <w:p w14:paraId="4F82B11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宏力卫生中心使用六岁以下项目医疗项目明细（2023年1月1日到2025年6月30日）》一份，《宏力社区卫生服务中心医保审计问题整改工作自查自纠报告》及其附件（2025年宏力卫生中心医保政策培训签到表，医保政策培训PPT课件，宏力卫生中心2025年医保政策培训会议图片）一份、《宏力社区卫生服务中心医保审计问题整改工作报告》一份、《宏力卫生中心使用六岁以下项目医疗项目明细（2025年7月1日后）》、退费公告张贴照片复印件一份，证明当事人的自查整改情况。</w:t>
      </w:r>
    </w:p>
    <w:p w14:paraId="2AC5569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上述证据均由当事人和相关证明人签字确认，并经查证属实。我局认为上述证据已形成证据链，足以证明当事人违法事实。</w:t>
      </w:r>
    </w:p>
    <w:p w14:paraId="7AF8E6B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我局于2026年8月21日向当事人送达了《行政处罚告知书》（柳北市监罚告〔2026〕82号），告知当事人我局拟作出行政处罚的事实、理由、依据、处罚内容及享有的权利。当事人在法定期限内未提出陈述、申辩。      </w:t>
      </w:r>
    </w:p>
    <w:bookmarkEnd w:id="3"/>
    <w:p w14:paraId="523F193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当事人上述行为，违反了《中华人民共和国价格法》第十二条</w:t>
      </w:r>
      <w:r>
        <w:rPr>
          <w:rFonts w:hint="eastAsia" w:ascii="仿宋" w:hAnsi="仿宋" w:eastAsia="仿宋" w:cs="仿宋"/>
          <w:color w:val="auto"/>
          <w:sz w:val="32"/>
          <w:szCs w:val="32"/>
          <w:u w:val="none"/>
          <w:lang w:val="en-US" w:eastAsia="zh-CN"/>
        </w:rPr>
        <w:t>“经营者进行价格活动，应当遵守法律、法规，执行依法制定的政府指导价、政府定价和法定的价格干预措施、紧急措施。”</w:t>
      </w:r>
      <w:r>
        <w:rPr>
          <w:rFonts w:hint="eastAsia" w:ascii="仿宋" w:hAnsi="仿宋" w:eastAsia="仿宋" w:cs="仿宋"/>
          <w:color w:val="auto"/>
          <w:sz w:val="32"/>
          <w:szCs w:val="32"/>
          <w:lang w:val="en-US" w:eastAsia="zh-CN"/>
        </w:rPr>
        <w:t>的规定，构成不执行政府指导价的违法行为，应依法退还的941.5元为违法所得基数，未清退的</w:t>
      </w:r>
      <w:bookmarkStart w:id="6" w:name="OLE_LINK1"/>
      <w:r>
        <w:rPr>
          <w:rFonts w:hint="eastAsia" w:ascii="仿宋" w:hAnsi="仿宋" w:eastAsia="仿宋" w:cs="仿宋"/>
          <w:color w:val="auto"/>
          <w:sz w:val="32"/>
          <w:szCs w:val="32"/>
          <w:lang w:val="en-US" w:eastAsia="zh-CN"/>
        </w:rPr>
        <w:t>84.05元</w:t>
      </w:r>
      <w:bookmarkEnd w:id="6"/>
      <w:r>
        <w:rPr>
          <w:rFonts w:hint="eastAsia" w:ascii="仿宋" w:hAnsi="仿宋" w:eastAsia="仿宋" w:cs="仿宋"/>
          <w:color w:val="auto"/>
          <w:sz w:val="32"/>
          <w:szCs w:val="32"/>
          <w:lang w:val="en-US" w:eastAsia="zh-CN"/>
        </w:rPr>
        <w:t>属应予以没收的违法所得。</w:t>
      </w:r>
    </w:p>
    <w:p w14:paraId="271EFC7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当事人在案件调查过程中能够积极配合我局调查工作，主动提供收费明细等相关材料，如实陈述违法事实，当事人积极清退违规收费款项，同时组织问题整改及自查自纠工作，主动消除违法行为危害后果，具有《广西壮族自治区市场监督管理行政处罚裁量基准(2023版）》中《价格法》行政处罚裁量基准“主动消除或者减轻违法行为危害后果的。”裁量标准“责令改正，没收违法所得，可以并处违法所得1.5倍以下的罚款；没有违法所得的，可以处以罚款。”从轻处罚规定的情形，依据《中华人民共和国行政处罚法》第五条、第六条的规定，我局决定给予当事人从轻行政处罚。</w:t>
      </w:r>
    </w:p>
    <w:p w14:paraId="03CFC62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依据《中华人民共和国价格法》第三十九条“</w:t>
      </w:r>
      <w:r>
        <w:rPr>
          <w:rFonts w:hint="eastAsia" w:ascii="仿宋" w:hAnsi="仿宋" w:eastAsia="仿宋" w:cs="仿宋"/>
          <w:i w:val="0"/>
          <w:iCs w:val="0"/>
          <w:caps w:val="0"/>
          <w:color w:val="auto"/>
          <w:spacing w:val="0"/>
          <w:sz w:val="32"/>
          <w:szCs w:val="32"/>
          <w:shd w:val="clear"/>
        </w:rPr>
        <w:t>经营者不执行政府指导价、政府定价以及法定的价格干预措施、紧急措施的，责令改正，没收违法所得，可以并处违法所得五倍以下的罚款；没有违法所得的，可</w:t>
      </w:r>
      <w:r>
        <w:rPr>
          <w:rFonts w:hint="eastAsia" w:ascii="仿宋" w:hAnsi="仿宋" w:eastAsia="仿宋" w:cs="仿宋"/>
          <w:i w:val="0"/>
          <w:iCs w:val="0"/>
          <w:caps w:val="0"/>
          <w:color w:val="auto"/>
          <w:spacing w:val="0"/>
          <w:sz w:val="32"/>
          <w:szCs w:val="32"/>
          <w:shd w:val="clear"/>
          <w:lang w:eastAsia="zh-CN"/>
        </w:rPr>
        <w:t>以处以罚款；情节严重的，责令停业整顿。”</w:t>
      </w:r>
      <w:r>
        <w:rPr>
          <w:rFonts w:hint="eastAsia" w:ascii="仿宋" w:hAnsi="仿宋" w:eastAsia="仿宋" w:cs="仿宋"/>
          <w:color w:val="auto"/>
          <w:sz w:val="32"/>
          <w:szCs w:val="32"/>
          <w:lang w:val="en-US" w:eastAsia="zh-CN"/>
        </w:rPr>
        <w:t>的规定，我局决定责令当事人立即改正上述违法行为，并给予当事人没收违法所得84.05元、罚款915.95元的行政处罚。</w:t>
      </w:r>
    </w:p>
    <w:p w14:paraId="420B45C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上述罚没款合计金额1000元。</w:t>
      </w:r>
    </w:p>
    <w:p w14:paraId="45A971B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当事人应当自收到接到本处罚决定书之日起15日内，凭《广西壮族自治区非税收入电子缴款通知书》到中国建设银行</w:t>
      </w:r>
      <w:r>
        <w:rPr>
          <w:rFonts w:hint="eastAsia" w:ascii="仿宋_GB2312" w:hAnsi="仿宋_GB2312" w:eastAsia="仿宋_GB2312" w:cs="仿宋_GB2312"/>
          <w:color w:val="auto"/>
          <w:sz w:val="32"/>
          <w:szCs w:val="32"/>
          <w:u w:val="none"/>
          <w:lang w:eastAsia="zh-CN"/>
        </w:rPr>
        <w:t>或柳州银行</w:t>
      </w:r>
      <w:r>
        <w:rPr>
          <w:rFonts w:hint="eastAsia" w:ascii="仿宋_GB2312" w:hAnsi="仿宋_GB2312" w:eastAsia="仿宋_GB2312" w:cs="仿宋_GB2312"/>
          <w:color w:val="auto"/>
          <w:sz w:val="32"/>
          <w:szCs w:val="32"/>
          <w:u w:val="none"/>
        </w:rPr>
        <w:t>缴纳罚款</w:t>
      </w:r>
      <w:r>
        <w:rPr>
          <w:rFonts w:hint="eastAsia" w:ascii="仿宋_GB2312" w:hAnsi="Times New Roman" w:eastAsia="仿宋_GB2312" w:cs="Times New Roman"/>
          <w:color w:val="auto"/>
          <w:sz w:val="32"/>
          <w:szCs w:val="32"/>
          <w:highlight w:val="none"/>
          <w:u w:val="none"/>
          <w:lang w:val="en-US" w:eastAsia="zh-CN"/>
        </w:rPr>
        <w:t>（附言备注20位缴款通知书编号）</w:t>
      </w:r>
      <w:r>
        <w:rPr>
          <w:rFonts w:hint="eastAsia" w:ascii="仿宋" w:hAnsi="仿宋" w:eastAsia="仿宋" w:cs="仿宋"/>
          <w:color w:val="auto"/>
          <w:sz w:val="32"/>
          <w:szCs w:val="32"/>
          <w:lang w:val="en-US" w:eastAsia="zh-CN"/>
        </w:rPr>
        <w:t>。逾期不缴纳罚款的，依据《价格违法行为行政处罚规定》第二十一条的规定，我局将每日按罚款数额的3%加处罚款；逾期不缴纳违法所得的，依据《价格违法行为行政处罚规定》第二十一条的规定，我局将每日按违法所得数额的2‰加处罚款；同时依据《中华人民共和国行政处罚法》第七十二条的规定，我局将依法申请人民法院强制执行。</w:t>
      </w:r>
    </w:p>
    <w:p w14:paraId="3E52AF3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当事人如不服本不予行政处罚决定，可在接到本不予行政处罚决定书之日起六十日内柳州市柳北区人民政府申请行政复议。申请行政复议期间，行政处罚不停止执行。</w:t>
      </w:r>
    </w:p>
    <w:p w14:paraId="448504DE">
      <w:pPr>
        <w:keepNext w:val="0"/>
        <w:keepLines w:val="0"/>
        <w:pageBreakBefore w:val="0"/>
        <w:widowControl w:val="0"/>
        <w:kinsoku/>
        <w:wordWrap/>
        <w:overflowPunct/>
        <w:topLinePunct w:val="0"/>
        <w:autoSpaceDE/>
        <w:autoSpaceDN/>
        <w:bidi w:val="0"/>
        <w:adjustRightInd/>
        <w:snapToGrid/>
        <w:spacing w:line="500" w:lineRule="exact"/>
        <w:ind w:right="640" w:firstLine="601"/>
        <w:jc w:val="center"/>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 xml:space="preserve">                  </w:t>
      </w:r>
      <w:bookmarkStart w:id="7" w:name="DYNAMIC—DWXX—tAj_dwmc—2"/>
    </w:p>
    <w:p w14:paraId="514881DF">
      <w:pPr>
        <w:keepNext w:val="0"/>
        <w:keepLines w:val="0"/>
        <w:pageBreakBefore w:val="0"/>
        <w:widowControl w:val="0"/>
        <w:kinsoku/>
        <w:wordWrap/>
        <w:overflowPunct/>
        <w:topLinePunct w:val="0"/>
        <w:autoSpaceDE/>
        <w:autoSpaceDN/>
        <w:bidi w:val="0"/>
        <w:adjustRightInd/>
        <w:snapToGrid/>
        <w:spacing w:line="450" w:lineRule="exact"/>
        <w:ind w:firstLine="4800" w:firstLineChars="15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柳州市柳北区市场监督管理局</w:t>
      </w:r>
      <w:bookmarkEnd w:id="7"/>
      <w:r>
        <w:rPr>
          <w:rFonts w:hint="eastAsia" w:ascii="仿宋" w:hAnsi="仿宋" w:eastAsia="仿宋" w:cs="仿宋"/>
          <w:color w:val="auto"/>
          <w:sz w:val="32"/>
          <w:szCs w:val="32"/>
          <w:lang w:val="en-US" w:eastAsia="zh-CN"/>
        </w:rPr>
        <w:t xml:space="preserve">          </w:t>
      </w:r>
    </w:p>
    <w:p w14:paraId="386B570B">
      <w:pPr>
        <w:keepNext w:val="0"/>
        <w:keepLines w:val="0"/>
        <w:pageBreakBefore w:val="0"/>
        <w:widowControl w:val="0"/>
        <w:kinsoku/>
        <w:wordWrap/>
        <w:overflowPunct/>
        <w:topLinePunct w:val="0"/>
        <w:autoSpaceDE/>
        <w:autoSpaceDN/>
        <w:bidi w:val="0"/>
        <w:adjustRightInd/>
        <w:snapToGrid/>
        <w:spacing w:line="450" w:lineRule="exact"/>
        <w:ind w:firstLine="5760" w:firstLineChars="1800"/>
        <w:textAlignment w:val="auto"/>
        <w:rPr>
          <w:rFonts w:hint="eastAsia" w:ascii="仿宋" w:hAnsi="仿宋" w:eastAsia="仿宋" w:cs="仿宋"/>
          <w:color w:val="auto"/>
          <w:sz w:val="32"/>
          <w:szCs w:val="32"/>
          <w:lang w:val="en-US" w:eastAsia="zh-CN"/>
        </w:rPr>
      </w:pPr>
      <w:bookmarkStart w:id="8" w:name="CALCULATE—TIME—NOW"/>
      <w:r>
        <w:rPr>
          <w:rFonts w:hint="eastAsia" w:ascii="仿宋" w:hAnsi="仿宋" w:eastAsia="仿宋" w:cs="仿宋"/>
          <w:color w:val="auto"/>
          <w:sz w:val="32"/>
          <w:szCs w:val="32"/>
          <w:lang w:val="en-US" w:eastAsia="zh-CN"/>
        </w:rPr>
        <w:t>2026年9月3</w:t>
      </w:r>
      <w:bookmarkStart w:id="9" w:name="_GoBack"/>
      <w:bookmarkEnd w:id="9"/>
      <w:r>
        <w:rPr>
          <w:rFonts w:hint="eastAsia" w:ascii="仿宋" w:hAnsi="仿宋" w:eastAsia="仿宋" w:cs="仿宋"/>
          <w:color w:val="auto"/>
          <w:sz w:val="32"/>
          <w:szCs w:val="32"/>
          <w:lang w:val="en-US" w:eastAsia="zh-CN"/>
        </w:rPr>
        <w:t>日</w:t>
      </w:r>
      <w:bookmarkEnd w:id="8"/>
      <w:r>
        <w:rPr>
          <w:rFonts w:hint="eastAsia" w:ascii="仿宋" w:hAnsi="仿宋" w:eastAsia="仿宋" w:cs="仿宋"/>
          <w:color w:val="auto"/>
          <w:sz w:val="32"/>
          <w:szCs w:val="32"/>
          <w:lang w:val="en-US" w:eastAsia="zh-CN"/>
        </w:rPr>
        <w:t xml:space="preserve">   </w:t>
      </w:r>
    </w:p>
    <w:p w14:paraId="749D0DC1">
      <w:pPr>
        <w:keepNext w:val="0"/>
        <w:keepLines w:val="0"/>
        <w:pageBreakBefore w:val="0"/>
        <w:widowControl w:val="0"/>
        <w:kinsoku/>
        <w:wordWrap/>
        <w:overflowPunct/>
        <w:topLinePunct w:val="0"/>
        <w:bidi w:val="0"/>
        <w:snapToGrid/>
        <w:spacing w:line="450" w:lineRule="exact"/>
        <w:ind w:right="1280" w:firstLine="600"/>
        <w:jc w:val="right"/>
        <w:textAlignment w:val="auto"/>
        <w:rPr>
          <w:rFonts w:hint="eastAsia" w:ascii="仿宋_GB2312" w:hAnsi="Times New Roman" w:eastAsia="仿宋_GB2312" w:cs="仿宋"/>
          <w:color w:val="auto"/>
          <w:sz w:val="32"/>
          <w:szCs w:val="32"/>
        </w:rPr>
      </w:pPr>
      <w:r>
        <w:rPr>
          <w:rFonts w:hint="eastAsia" w:ascii="仿宋_GB2312" w:hAnsi="Times New Roman" w:eastAsia="仿宋_GB2312" w:cs="仿宋"/>
          <w:color w:val="auto"/>
          <w:sz w:val="32"/>
          <w:szCs w:val="32"/>
        </w:rPr>
        <w:t xml:space="preserve"> </w:t>
      </w:r>
    </w:p>
    <w:p w14:paraId="35D75CD9">
      <w:pPr>
        <w:pStyle w:val="2"/>
        <w:rPr>
          <w:rFonts w:hint="eastAsia" w:ascii="仿宋_GB2312" w:hAnsi="Times New Roman" w:eastAsia="仿宋_GB2312" w:cs="仿宋"/>
          <w:color w:val="auto"/>
          <w:sz w:val="32"/>
          <w:szCs w:val="32"/>
        </w:rPr>
      </w:pPr>
    </w:p>
    <w:p w14:paraId="2C57E381">
      <w:pPr>
        <w:pStyle w:val="3"/>
        <w:spacing w:before="1"/>
        <w:rPr>
          <w:rFonts w:ascii="Times New Roman" w:hAnsi="Times New Roman" w:eastAsia="仿宋_GB2312" w:cs="仿宋"/>
          <w:bCs/>
          <w:color w:val="auto"/>
          <w:sz w:val="44"/>
          <w:szCs w:val="44"/>
        </w:rPr>
      </w:pPr>
      <w:r>
        <w:rPr>
          <w:rFonts w:ascii="Times New Roman" w:hAnsi="Times New Roman" w:eastAsia="仿宋_GB2312"/>
          <w:color w:val="auto"/>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u w:val="none"/>
        </w:rPr>
        <w:t>（市场监督管理部门将依法向社会公开行政处罚决定信息）</w:t>
      </w:r>
    </w:p>
    <w:p w14:paraId="4CFC3D1D">
      <w:pPr>
        <w:spacing w:line="500" w:lineRule="exact"/>
        <w:rPr>
          <w:color w:val="auto"/>
        </w:rPr>
      </w:pPr>
      <w:r>
        <w:rPr>
          <w:rFonts w:ascii="Times New Roman" w:hAnsi="Times New Roman" w:eastAsia="仿宋_GB2312" w:cs="仿宋"/>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u w:val="none"/>
        </w:rPr>
        <w:t>本文书一式</w:t>
      </w:r>
      <w:r>
        <w:rPr>
          <w:rFonts w:hint="eastAsia" w:ascii="Times New Roman" w:hAnsi="Times New Roman" w:eastAsia="仿宋_GB2312" w:cs="仿宋"/>
          <w:color w:val="auto"/>
          <w:sz w:val="32"/>
          <w:szCs w:val="32"/>
          <w:u w:val="none"/>
          <w:lang w:eastAsia="zh-CN"/>
        </w:rPr>
        <w:t>三</w:t>
      </w:r>
      <w:r>
        <w:rPr>
          <w:rFonts w:hint="eastAsia" w:ascii="Times New Roman" w:hAnsi="Times New Roman" w:eastAsia="仿宋_GB2312" w:cs="仿宋"/>
          <w:color w:val="auto"/>
          <w:sz w:val="32"/>
          <w:szCs w:val="32"/>
          <w:u w:val="none"/>
        </w:rPr>
        <w:t>份，</w:t>
      </w:r>
      <w:r>
        <w:rPr>
          <w:rFonts w:hint="eastAsia" w:ascii="Times New Roman" w:hAnsi="Times New Roman" w:eastAsia="仿宋_GB2312" w:cs="仿宋"/>
          <w:color w:val="auto"/>
          <w:sz w:val="32"/>
          <w:szCs w:val="32"/>
          <w:u w:val="none"/>
          <w:lang w:eastAsia="zh-CN"/>
        </w:rPr>
        <w:t>一</w:t>
      </w:r>
      <w:r>
        <w:rPr>
          <w:rFonts w:hint="eastAsia" w:ascii="Times New Roman" w:hAnsi="Times New Roman" w:eastAsia="仿宋_GB2312" w:cs="仿宋"/>
          <w:color w:val="auto"/>
          <w:sz w:val="32"/>
          <w:szCs w:val="32"/>
          <w:u w:val="none"/>
        </w:rPr>
        <w:t>份送达，一份归档，</w:t>
      </w:r>
      <w:r>
        <w:rPr>
          <w:rFonts w:hint="eastAsia" w:ascii="Times New Roman" w:hAnsi="Times New Roman" w:eastAsia="仿宋_GB2312" w:cs="仿宋"/>
          <w:color w:val="auto"/>
          <w:sz w:val="32"/>
          <w:szCs w:val="32"/>
          <w:u w:val="none"/>
          <w:lang w:eastAsia="zh-CN"/>
        </w:rPr>
        <w:t>一份办案机构留存</w:t>
      </w:r>
      <w:r>
        <w:rPr>
          <w:rFonts w:hint="eastAsia" w:ascii="Times New Roman" w:hAnsi="Times New Roman" w:eastAsia="仿宋_GB2312" w:cs="仿宋"/>
          <w:color w:val="auto"/>
          <w:sz w:val="32"/>
          <w:szCs w:val="32"/>
          <w:u w:val="none"/>
        </w:rPr>
        <w:t>。</w:t>
      </w:r>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451D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291E9">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8291E9">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MTNiYTA5MDk2MDQ1NzNjMTJmOTUzODcxYjY3OTcifQ=="/>
  </w:docVars>
  <w:rsids>
    <w:rsidRoot w:val="1AF55CFA"/>
    <w:rsid w:val="05DF2428"/>
    <w:rsid w:val="13E243B9"/>
    <w:rsid w:val="19A55FD1"/>
    <w:rsid w:val="1AE57C1A"/>
    <w:rsid w:val="1AF55CFA"/>
    <w:rsid w:val="265D21A0"/>
    <w:rsid w:val="276460F3"/>
    <w:rsid w:val="29387837"/>
    <w:rsid w:val="2956340E"/>
    <w:rsid w:val="3BB24E95"/>
    <w:rsid w:val="3BC0681D"/>
    <w:rsid w:val="41021858"/>
    <w:rsid w:val="418C121C"/>
    <w:rsid w:val="450A37AA"/>
    <w:rsid w:val="457C6C65"/>
    <w:rsid w:val="482330D2"/>
    <w:rsid w:val="50126E02"/>
    <w:rsid w:val="502C4556"/>
    <w:rsid w:val="5E8C743B"/>
    <w:rsid w:val="6B47165C"/>
    <w:rsid w:val="6C9854C4"/>
    <w:rsid w:val="714141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Normal (Web)"/>
    <w:qFormat/>
    <w:uiPriority w:val="0"/>
    <w:pPr>
      <w:widowControl w:val="0"/>
      <w:spacing w:beforeAutospacing="1" w:afterAutospacing="1"/>
      <w:jc w:val="left"/>
    </w:pPr>
    <w:rPr>
      <w:rFonts w:ascii="Calibri" w:hAnsi="Calibri"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2490</Words>
  <Characters>2660</Characters>
  <Lines>0</Lines>
  <Paragraphs>0</Paragraphs>
  <TotalTime>1</TotalTime>
  <ScaleCrop>false</ScaleCrop>
  <LinksUpToDate>false</LinksUpToDate>
  <CharactersWithSpaces>2816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2026-07-08T10:59:00Z</dcterms:created>
  <dc:creator>不当麻瓜</dc:creator>
  <cp:lastModifiedBy>蕃蕃</cp:lastModifiedBy>
  <dcterms:modified xsi:type="dcterms:W3CDTF">2026-09-08T00:58:30Z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D90A8D5533A04F6682B172082F1D89B1_13</vt:lpwstr>
  </property>
  <property fmtid="{D5CDD505-2E9C-101B-9397-08002B2CF9AE}" pid="4" name="KSOTemplateDocerSaveRecord">
    <vt:lpwstr>eyJoZGlkIjoiNjljYzBiNmJkNjNmYjA3MDkwNzQ4ZTM5NDc1MTY5NDgiLCJ1c2VySWQiOiI5MTQwNjk2NTMifQ==</vt:lpwstr>
  </property>
</Properties>
</file>