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C93B7">
      <w:pPr>
        <w:numPr>
          <w:ilvl w:val="0"/>
          <w:numId w:val="2"/>
        </w:numPr>
        <w:spacing w:line="640" w:lineRule="exact"/>
        <w:jc w:val="center"/>
        <w:outlineLvl w:val="0"/>
        <w:rPr>
          <w:rFonts w:hint="default" w:ascii="Times New Roman" w:hAnsi="Times New Roman" w:eastAsia="方正小标宋简体" w:cs="Times New Roman"/>
          <w:color w:val="auto"/>
          <w:sz w:val="44"/>
          <w:szCs w:val="44"/>
        </w:rPr>
      </w:pPr>
      <w:bookmarkStart w:id="0" w:name="DYNAMIC—DWXX—tAj_dwmc"/>
      <w:r>
        <w:rPr>
          <w:rFonts w:hint="default" w:ascii="Times New Roman" w:hAnsi="Times New Roman" w:eastAsia="方正小标宋简体" w:cs="Times New Roman"/>
          <w:color w:val="auto"/>
          <w:sz w:val="44"/>
          <w:u w:val="none"/>
          <w:lang w:eastAsia="zh-CN"/>
        </w:rPr>
        <w:t>柳州市</w:t>
      </w:r>
      <w:r>
        <w:rPr>
          <w:rFonts w:hint="default" w:ascii="Times New Roman" w:hAnsi="Times New Roman" w:eastAsia="方正小标宋简体" w:cs="Times New Roman"/>
          <w:color w:val="auto"/>
          <w:sz w:val="44"/>
          <w:u w:val="none"/>
        </w:rPr>
        <w:t>柳北区市场监督管理局</w:t>
      </w:r>
      <w:bookmarkEnd w:id="0"/>
    </w:p>
    <w:p w14:paraId="29624BF3">
      <w:pPr>
        <w:pStyle w:val="2"/>
        <w:keepNext w:val="0"/>
        <w:numPr>
          <w:ilvl w:val="0"/>
          <w:numId w:val="2"/>
        </w:numPr>
        <w:spacing w:before="0" w:after="0" w:line="640" w:lineRule="exact"/>
        <w:jc w:val="center"/>
        <w:rPr>
          <w:rFonts w:hint="default" w:ascii="Times New Roman" w:hAnsi="Times New Roman" w:eastAsia="方正小标宋简体" w:cs="Times New Roman"/>
          <w:color w:val="auto"/>
          <w:sz w:val="44"/>
          <w:szCs w:val="44"/>
        </w:rPr>
      </w:pPr>
      <w:bookmarkStart w:id="1" w:name="_Toc76683344"/>
      <w:r>
        <w:rPr>
          <w:rFonts w:hint="default" w:ascii="Times New Roman" w:hAnsi="Times New Roman" w:eastAsia="方正小标宋简体" w:cs="Times New Roman"/>
          <w:color w:val="auto"/>
          <w:sz w:val="44"/>
          <w:szCs w:val="44"/>
          <w:u w:val="none"/>
          <w:lang w:val="en-US"/>
        </w:rPr>
        <w:t>行政处罚</w:t>
      </w:r>
      <w:r>
        <w:rPr>
          <w:rFonts w:hint="default" w:ascii="Times New Roman" w:hAnsi="Times New Roman" w:eastAsia="方正小标宋简体" w:cs="Times New Roman"/>
          <w:color w:val="auto"/>
          <w:sz w:val="44"/>
          <w:szCs w:val="44"/>
          <w:u w:val="none"/>
          <w:lang w:val="en-US" w:eastAsia="zh-Hans"/>
        </w:rPr>
        <w:t>决定</w:t>
      </w:r>
      <w:r>
        <w:rPr>
          <w:rFonts w:hint="default" w:ascii="Times New Roman" w:hAnsi="Times New Roman" w:eastAsia="方正小标宋简体" w:cs="Times New Roman"/>
          <w:color w:val="auto"/>
          <w:sz w:val="44"/>
          <w:szCs w:val="44"/>
          <w:u w:val="none"/>
          <w:lang w:val="en-US"/>
        </w:rPr>
        <w:t>书</w:t>
      </w:r>
      <w:bookmarkEnd w:id="1"/>
    </w:p>
    <w:p w14:paraId="77B66464">
      <w:pPr>
        <w:widowControl/>
        <w:snapToGrid w:val="0"/>
        <w:spacing w:line="560" w:lineRule="exact"/>
        <w:ind w:right="55"/>
        <w:jc w:val="center"/>
        <w:outlineLvl w:val="1"/>
        <w:rPr>
          <w:rFonts w:hint="default" w:ascii="Times New Roman" w:hAnsi="Times New Roman" w:eastAsia="仿宋_GB2312" w:cs="Times New Roman"/>
          <w:color w:val="auto"/>
          <w:sz w:val="32"/>
          <w:highlight w:val="none"/>
        </w:rPr>
      </w:pPr>
      <w:bookmarkStart w:id="2" w:name="tAj_wh"/>
      <w:r>
        <w:rPr>
          <w:rFonts w:hint="default" w:ascii="Times New Roman" w:hAnsi="Times New Roman" w:eastAsia="仿宋_GB2312" w:cs="Times New Roman"/>
          <w:color w:val="auto"/>
          <w:sz w:val="32"/>
          <w:highlight w:val="none"/>
          <w:u w:val="none"/>
        </w:rPr>
        <w:t>柳北市监处罚〔2026〕</w:t>
      </w:r>
      <w:r>
        <w:rPr>
          <w:rFonts w:hint="eastAsia" w:ascii="Times New Roman" w:hAnsi="Times New Roman" w:eastAsia="仿宋_GB2312" w:cs="Times New Roman"/>
          <w:color w:val="auto"/>
          <w:sz w:val="32"/>
          <w:highlight w:val="none"/>
          <w:u w:val="none"/>
          <w:lang w:val="en-US" w:eastAsia="zh-CN"/>
        </w:rPr>
        <w:t>109</w:t>
      </w:r>
      <w:bookmarkStart w:id="6" w:name="_GoBack"/>
      <w:bookmarkEnd w:id="6"/>
      <w:r>
        <w:rPr>
          <w:rFonts w:hint="default" w:ascii="Times New Roman" w:hAnsi="Times New Roman" w:eastAsia="仿宋_GB2312" w:cs="Times New Roman"/>
          <w:color w:val="auto"/>
          <w:sz w:val="32"/>
          <w:highlight w:val="none"/>
          <w:u w:val="none"/>
        </w:rPr>
        <w:t>号</w:t>
      </w:r>
      <w:bookmarkEnd w:id="2"/>
    </w:p>
    <w:p w14:paraId="7356BF46">
      <w:pPr>
        <w:pStyle w:val="9"/>
        <w:keepNext w:val="0"/>
        <w:keepLines w:val="0"/>
        <w:pageBreakBefore w:val="0"/>
        <w:widowControl w:val="0"/>
        <w:kinsoku/>
        <w:wordWrap/>
        <w:overflowPunct/>
        <w:topLinePunct w:val="0"/>
        <w:bidi w:val="0"/>
        <w:snapToGrid/>
        <w:spacing w:line="510" w:lineRule="exact"/>
        <w:textAlignment w:val="auto"/>
        <w:rPr>
          <w:rFonts w:hint="default" w:ascii="Times New Roman" w:hAnsi="Times New Roman" w:cs="Times New Roman"/>
          <w:color w:val="auto"/>
        </w:rPr>
      </w:pPr>
    </w:p>
    <w:p w14:paraId="71EFD95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bookmarkStart w:id="3" w:name="OLE_LINK8"/>
      <w:bookmarkStart w:id="4" w:name="OLE_LINK4"/>
      <w:r>
        <w:rPr>
          <w:rFonts w:hint="default" w:ascii="Times New Roman" w:hAnsi="Times New Roman" w:eastAsia="仿宋_GB2312" w:cs="Times New Roman"/>
          <w:color w:val="auto"/>
          <w:sz w:val="32"/>
          <w:szCs w:val="32"/>
          <w:u w:val="none"/>
          <w:lang w:val="en-US" w:eastAsia="zh-CN"/>
        </w:rPr>
        <w:t>当事人：</w:t>
      </w:r>
      <w:r>
        <w:rPr>
          <w:rFonts w:hint="default" w:ascii="Times New Roman" w:hAnsi="Times New Roman" w:eastAsia="仿宋_GB2312" w:cs="Times New Roman"/>
          <w:color w:val="auto"/>
          <w:sz w:val="32"/>
          <w:szCs w:val="32"/>
          <w:lang w:val="en-US" w:eastAsia="zh-CN"/>
        </w:rPr>
        <w:t>柳州市柳北区长塘镇卫生院</w:t>
      </w:r>
      <w:r>
        <w:rPr>
          <w:rFonts w:hint="default" w:ascii="Times New Roman" w:hAnsi="Times New Roman" w:eastAsia="仿宋_GB2312" w:cs="Times New Roman"/>
          <w:color w:val="auto"/>
          <w:sz w:val="32"/>
          <w:szCs w:val="32"/>
          <w:u w:val="none"/>
          <w:lang w:val="en-US" w:eastAsia="zh-CN"/>
        </w:rPr>
        <w:t xml:space="preserve">       </w:t>
      </w:r>
    </w:p>
    <w:p w14:paraId="15E9774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主体资格证照名称：</w:t>
      </w:r>
      <w:r>
        <w:rPr>
          <w:rFonts w:hint="default" w:ascii="Times New Roman" w:hAnsi="Times New Roman" w:eastAsia="仿宋_GB2312" w:cs="Times New Roman"/>
          <w:color w:val="auto"/>
          <w:sz w:val="32"/>
          <w:szCs w:val="32"/>
          <w:lang w:val="en-US" w:eastAsia="zh-CN"/>
        </w:rPr>
        <w:t>中华人民共和国事业单位法人证书</w:t>
      </w:r>
      <w:r>
        <w:rPr>
          <w:rFonts w:hint="default" w:ascii="Times New Roman" w:hAnsi="Times New Roman" w:eastAsia="仿宋_GB2312" w:cs="Times New Roman"/>
          <w:color w:val="auto"/>
          <w:sz w:val="32"/>
          <w:szCs w:val="32"/>
          <w:u w:val="none"/>
          <w:lang w:val="en-US" w:eastAsia="zh-CN"/>
        </w:rPr>
        <w:t xml:space="preserve">                                  </w:t>
      </w:r>
    </w:p>
    <w:p w14:paraId="610C277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统一社会信用代码：</w:t>
      </w:r>
      <w:r>
        <w:rPr>
          <w:rFonts w:hint="default" w:ascii="Times New Roman" w:hAnsi="Times New Roman" w:eastAsia="仿宋_GB2312" w:cs="Times New Roman"/>
          <w:color w:val="auto"/>
          <w:sz w:val="32"/>
          <w:szCs w:val="32"/>
          <w:lang w:val="en-US" w:eastAsia="zh-CN"/>
        </w:rPr>
        <w:t>124502054986401278</w:t>
      </w:r>
      <w:r>
        <w:rPr>
          <w:rFonts w:hint="default" w:ascii="Times New Roman" w:hAnsi="Times New Roman" w:eastAsia="仿宋_GB2312" w:cs="Times New Roman"/>
          <w:color w:val="auto"/>
          <w:sz w:val="32"/>
          <w:szCs w:val="32"/>
          <w:u w:val="none"/>
          <w:lang w:val="en-US" w:eastAsia="zh-CN"/>
        </w:rPr>
        <w:t xml:space="preserve">                               </w:t>
      </w:r>
    </w:p>
    <w:p w14:paraId="21758E6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color w:val="auto"/>
          <w:sz w:val="32"/>
          <w:szCs w:val="32"/>
          <w:u w:val="none"/>
          <w:lang w:val="en-US" w:eastAsia="zh-CN"/>
        </w:rPr>
        <w:t>经营场所：</w:t>
      </w:r>
      <w:r>
        <w:rPr>
          <w:rFonts w:hint="default" w:ascii="Times New Roman" w:hAnsi="Times New Roman" w:eastAsia="仿宋_GB2312" w:cs="Times New Roman"/>
          <w:color w:val="auto"/>
          <w:sz w:val="32"/>
          <w:szCs w:val="32"/>
          <w:lang w:val="en-US" w:eastAsia="zh-CN"/>
        </w:rPr>
        <w:t>柳州市柳北区香兰大道15号</w:t>
      </w:r>
    </w:p>
    <w:p w14:paraId="149EDA4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lang w:val="en-US" w:eastAsia="zh-CN"/>
        </w:rPr>
        <w:t>法定代表人：马力</w:t>
      </w:r>
      <w:r>
        <w:rPr>
          <w:rFonts w:hint="default" w:ascii="Times New Roman" w:hAnsi="Times New Roman" w:eastAsia="仿宋_GB2312" w:cs="Times New Roman"/>
          <w:color w:val="auto"/>
          <w:sz w:val="32"/>
          <w:szCs w:val="32"/>
          <w:u w:val="none"/>
          <w:lang w:val="en-US" w:eastAsia="zh-CN"/>
        </w:rPr>
        <w:t xml:space="preserve">                       </w:t>
      </w:r>
    </w:p>
    <w:p w14:paraId="4B34965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身份证件号码：</w:t>
      </w:r>
      <w:r>
        <w:rPr>
          <w:rFonts w:hint="eastAsia" w:ascii="Times New Roman" w:hAnsi="Times New Roman" w:eastAsia="仿宋_GB2312" w:cs="Times New Roman"/>
          <w:color w:val="auto"/>
          <w:sz w:val="32"/>
          <w:szCs w:val="32"/>
          <w:lang w:val="en-US" w:eastAsia="zh-CN"/>
        </w:rPr>
        <w:t>*</w:t>
      </w:r>
    </w:p>
    <w:p w14:paraId="7192FC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2026年1月28 日，我局收到《柳州市市场监督管理局问题线索移送函》（柳市监价竞交〔2026〕1号）及案件相关材料显示，柳州市柳北区长塘镇卫生院对大于 6 岁患者收取6 岁以下项目并纳入医保结算，涉嫌不执行政府指导价，违反了《中华人民共和国价格法》第十二条之规定。202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rPr>
        <w:t>日，本局依法对当事人</w:t>
      </w:r>
      <w:r>
        <w:rPr>
          <w:rFonts w:hint="default" w:ascii="Times New Roman" w:hAnsi="Times New Roman" w:eastAsia="仿宋_GB2312" w:cs="Times New Roman"/>
          <w:color w:val="auto"/>
          <w:sz w:val="32"/>
          <w:szCs w:val="32"/>
          <w:lang w:val="en-US" w:eastAsia="zh-CN"/>
        </w:rPr>
        <w:t>涉嫌不执行政府指导价</w:t>
      </w:r>
      <w:r>
        <w:rPr>
          <w:rFonts w:hint="default" w:ascii="Times New Roman" w:hAnsi="Times New Roman" w:eastAsia="仿宋_GB2312" w:cs="Times New Roman"/>
          <w:color w:val="auto"/>
          <w:sz w:val="32"/>
          <w:szCs w:val="32"/>
          <w:lang w:eastAsia="zh-CN"/>
        </w:rPr>
        <w:t>的行为</w:t>
      </w:r>
      <w:r>
        <w:rPr>
          <w:rFonts w:hint="default" w:ascii="Times New Roman" w:hAnsi="Times New Roman" w:eastAsia="仿宋_GB2312" w:cs="Times New Roman"/>
          <w:color w:val="auto"/>
          <w:sz w:val="32"/>
          <w:szCs w:val="32"/>
        </w:rPr>
        <w:t>立案调查。本案未采取行政强制措施。</w:t>
      </w:r>
    </w:p>
    <w:p w14:paraId="7896C3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经查，根据</w:t>
      </w:r>
      <w:r>
        <w:rPr>
          <w:rFonts w:hint="default" w:ascii="Times New Roman" w:hAnsi="Times New Roman" w:eastAsia="仿宋_GB2312" w:cs="Times New Roman"/>
          <w:color w:val="auto"/>
          <w:sz w:val="32"/>
          <w:szCs w:val="32"/>
        </w:rPr>
        <w:t>广西壮族自治区医疗保障局关于印发《广西医疗服务项目价格（2021年版）》的通知</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广西医疗服务项目价格（2021年版）》中的医疗服务价格项目，是对公立医疗卫生机构开展的现行医疗服务价格项目的统一归并和规范，全区各级公立医疗卫生机构必须按照所列价格项目提供相应的医疗服务，并按其中的项目编码、项目名称、项目内涵、除外内容、计价单位和说明进行管理。非营利性非公立医疗机构应参照《广西医疗服务项目价格（2021年版）》中的医疗服务价格项目提供医疗服务</w:t>
      </w:r>
      <w:r>
        <w:rPr>
          <w:rFonts w:hint="default" w:ascii="Times New Roman" w:hAnsi="Times New Roman" w:eastAsia="仿宋_GB2312" w:cs="Times New Roman"/>
          <w:color w:val="auto"/>
          <w:sz w:val="32"/>
          <w:szCs w:val="32"/>
          <w:lang w:val="en-US" w:eastAsia="zh-CN"/>
        </w:rPr>
        <w:t>……当事人属于非营利性（政府办）的乡卫生院（一级）。</w:t>
      </w:r>
      <w:r>
        <w:rPr>
          <w:rFonts w:hint="default" w:ascii="Times New Roman" w:hAnsi="Times New Roman" w:eastAsia="仿宋_GB2312" w:cs="Times New Roman"/>
          <w:color w:val="auto"/>
          <w:sz w:val="32"/>
          <w:szCs w:val="32"/>
          <w:highlight w:val="none"/>
          <w:lang w:val="en-US" w:eastAsia="zh-CN"/>
        </w:rPr>
        <w:t>2023年1月1日至2025年6月期间，</w:t>
      </w:r>
      <w:r>
        <w:rPr>
          <w:rFonts w:hint="default" w:ascii="Times New Roman" w:hAnsi="Times New Roman" w:eastAsia="仿宋_GB2312" w:cs="Times New Roman"/>
          <w:color w:val="auto"/>
          <w:sz w:val="32"/>
          <w:szCs w:val="32"/>
        </w:rPr>
        <w:t>当事人在</w:t>
      </w:r>
      <w:r>
        <w:rPr>
          <w:rFonts w:hint="default" w:ascii="Times New Roman" w:hAnsi="Times New Roman" w:eastAsia="仿宋_GB2312" w:cs="Times New Roman"/>
          <w:color w:val="auto"/>
          <w:sz w:val="32"/>
          <w:szCs w:val="32"/>
          <w:lang w:val="en-US" w:eastAsia="zh-CN"/>
        </w:rPr>
        <w:t xml:space="preserve">为患者提供医疗服务过程中 </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存在</w:t>
      </w:r>
      <w:r>
        <w:rPr>
          <w:rFonts w:hint="default" w:ascii="Times New Roman" w:hAnsi="Times New Roman" w:eastAsia="仿宋_GB2312" w:cs="Times New Roman"/>
          <w:color w:val="auto"/>
          <w:sz w:val="32"/>
          <w:szCs w:val="32"/>
          <w:lang w:val="en-US" w:eastAsia="zh-CN"/>
        </w:rPr>
        <w:t>按照6岁及以下患者的收费标准，</w:t>
      </w:r>
      <w:r>
        <w:rPr>
          <w:rFonts w:hint="default" w:ascii="Times New Roman" w:hAnsi="Times New Roman" w:eastAsia="仿宋_GB2312" w:cs="Times New Roman"/>
          <w:color w:val="auto"/>
          <w:sz w:val="32"/>
          <w:szCs w:val="32"/>
          <w:lang w:eastAsia="zh-CN"/>
        </w:rPr>
        <w:t>收取大于</w:t>
      </w:r>
      <w:r>
        <w:rPr>
          <w:rFonts w:hint="default" w:ascii="Times New Roman" w:hAnsi="Times New Roman" w:eastAsia="仿宋_GB2312" w:cs="Times New Roman"/>
          <w:color w:val="auto"/>
          <w:sz w:val="32"/>
          <w:szCs w:val="32"/>
          <w:lang w:val="en-US" w:eastAsia="zh-CN"/>
        </w:rPr>
        <w:t>6岁患者医疗服务项目费用的情况，共多收了400元。当事人于2026年1月23日按照</w:t>
      </w:r>
      <w:r>
        <w:rPr>
          <w:rFonts w:hint="default" w:ascii="Times New Roman" w:hAnsi="Times New Roman" w:eastAsia="仿宋_GB2312" w:cs="Times New Roman"/>
          <w:color w:val="auto"/>
          <w:sz w:val="32"/>
          <w:szCs w:val="32"/>
          <w:highlight w:val="none"/>
          <w:lang w:val="en-US" w:eastAsia="zh-CN"/>
        </w:rPr>
        <w:t>《2025年审计“跑冒滴漏”专项医保基金清退明细表》，</w:t>
      </w:r>
      <w:r>
        <w:rPr>
          <w:rFonts w:hint="default" w:ascii="Times New Roman" w:hAnsi="Times New Roman" w:eastAsia="仿宋_GB2312" w:cs="Times New Roman"/>
          <w:color w:val="auto"/>
          <w:sz w:val="32"/>
          <w:szCs w:val="32"/>
          <w:lang w:val="en-US" w:eastAsia="zh-CN"/>
        </w:rPr>
        <w:t>将包含上述多收价款的违规基金350.97元足额清退，于2026年6月3日清退了涉及个人自费部分多收价款45.37元，剩余3.66元涉及个人自费部分的多收价款因无法与患者取得联系无法清退。</w:t>
      </w:r>
    </w:p>
    <w:p w14:paraId="2D7688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上述事实，主要有以下证据证明：</w:t>
      </w:r>
      <w:bookmarkStart w:id="5" w:name="OLE_LINK11"/>
    </w:p>
    <w:bookmarkEnd w:id="5"/>
    <w:p w14:paraId="680BE0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1.当事人的</w:t>
      </w:r>
      <w:r>
        <w:rPr>
          <w:rFonts w:hint="default" w:ascii="Times New Roman" w:hAnsi="Times New Roman" w:eastAsia="仿宋_GB2312" w:cs="Times New Roman"/>
          <w:color w:val="auto"/>
          <w:sz w:val="32"/>
          <w:szCs w:val="32"/>
          <w:lang w:eastAsia="zh-CN"/>
        </w:rPr>
        <w:t>《事业单位法人证书》及副本、</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医疗机构执业</w:t>
      </w:r>
      <w:r>
        <w:rPr>
          <w:rFonts w:hint="default" w:ascii="Times New Roman" w:hAnsi="Times New Roman" w:eastAsia="仿宋_GB2312" w:cs="Times New Roman"/>
          <w:color w:val="auto"/>
          <w:sz w:val="32"/>
          <w:szCs w:val="32"/>
        </w:rPr>
        <w:t>许可证》</w:t>
      </w:r>
      <w:r>
        <w:rPr>
          <w:rFonts w:hint="default" w:ascii="Times New Roman" w:hAnsi="Times New Roman" w:eastAsia="仿宋_GB2312" w:cs="Times New Roman"/>
          <w:color w:val="auto"/>
          <w:sz w:val="32"/>
          <w:szCs w:val="32"/>
          <w:lang w:eastAsia="zh-CN"/>
        </w:rPr>
        <w:t>及副本、</w:t>
      </w:r>
      <w:r>
        <w:rPr>
          <w:rFonts w:hint="default" w:ascii="Times New Roman" w:hAnsi="Times New Roman" w:eastAsia="仿宋_GB2312" w:cs="Times New Roman"/>
          <w:color w:val="auto"/>
          <w:sz w:val="32"/>
          <w:szCs w:val="32"/>
        </w:rPr>
        <w:t>法定代表人《居民身份证》复印件</w:t>
      </w:r>
      <w:r>
        <w:rPr>
          <w:rFonts w:hint="default" w:ascii="Times New Roman" w:hAnsi="Times New Roman" w:eastAsia="仿宋_GB2312" w:cs="Times New Roman"/>
          <w:color w:val="auto"/>
          <w:sz w:val="32"/>
          <w:szCs w:val="32"/>
          <w:lang w:eastAsia="zh-CN"/>
        </w:rPr>
        <w:t>各</w:t>
      </w:r>
      <w:r>
        <w:rPr>
          <w:rFonts w:hint="default" w:ascii="Times New Roman" w:hAnsi="Times New Roman" w:eastAsia="仿宋_GB2312" w:cs="Times New Roman"/>
          <w:color w:val="auto"/>
          <w:sz w:val="32"/>
          <w:szCs w:val="32"/>
          <w:lang w:val="en-US" w:eastAsia="zh-CN"/>
        </w:rPr>
        <w:t>一份</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《授权委托书》一份，受委托人《居民身份证》</w:t>
      </w:r>
      <w:r>
        <w:rPr>
          <w:rFonts w:hint="default" w:ascii="Times New Roman" w:hAnsi="Times New Roman" w:eastAsia="仿宋_GB2312" w:cs="Times New Roman"/>
          <w:color w:val="auto"/>
          <w:sz w:val="32"/>
          <w:szCs w:val="32"/>
        </w:rPr>
        <w:t>复印件</w:t>
      </w:r>
      <w:r>
        <w:rPr>
          <w:rFonts w:hint="default" w:ascii="Times New Roman" w:hAnsi="Times New Roman" w:eastAsia="仿宋_GB2312" w:cs="Times New Roman"/>
          <w:color w:val="auto"/>
          <w:sz w:val="32"/>
          <w:szCs w:val="32"/>
          <w:lang w:val="en-US" w:eastAsia="zh-CN"/>
        </w:rPr>
        <w:t>一份，</w:t>
      </w:r>
      <w:r>
        <w:rPr>
          <w:rFonts w:hint="default" w:ascii="Times New Roman" w:hAnsi="Times New Roman" w:eastAsia="仿宋_GB2312" w:cs="Times New Roman"/>
          <w:color w:val="auto"/>
          <w:sz w:val="32"/>
          <w:szCs w:val="32"/>
        </w:rPr>
        <w:t>证明当事人</w:t>
      </w:r>
      <w:r>
        <w:rPr>
          <w:rFonts w:hint="default" w:ascii="Times New Roman" w:hAnsi="Times New Roman" w:eastAsia="仿宋_GB2312" w:cs="Times New Roman"/>
          <w:color w:val="auto"/>
          <w:sz w:val="32"/>
          <w:szCs w:val="32"/>
          <w:u w:val="none"/>
          <w:lang w:val="en-US" w:eastAsia="zh-CN"/>
        </w:rPr>
        <w:t>从事医疗卫生服务</w:t>
      </w:r>
      <w:r>
        <w:rPr>
          <w:rFonts w:hint="default" w:ascii="Times New Roman" w:hAnsi="Times New Roman" w:eastAsia="仿宋_GB2312" w:cs="Times New Roman"/>
          <w:color w:val="auto"/>
          <w:sz w:val="32"/>
          <w:szCs w:val="32"/>
        </w:rPr>
        <w:t>的主体资格</w:t>
      </w:r>
      <w:r>
        <w:rPr>
          <w:rFonts w:hint="default" w:ascii="Times New Roman" w:hAnsi="Times New Roman" w:eastAsia="仿宋_GB2312" w:cs="Times New Roman"/>
          <w:color w:val="auto"/>
          <w:sz w:val="32"/>
          <w:szCs w:val="32"/>
          <w:u w:val="none"/>
          <w:lang w:val="en-US" w:eastAsia="zh-CN"/>
        </w:rPr>
        <w:t>及法定代表人、受委托人的身份信息</w:t>
      </w:r>
      <w:r>
        <w:rPr>
          <w:rFonts w:hint="default" w:ascii="Times New Roman" w:hAnsi="Times New Roman" w:eastAsia="仿宋_GB2312" w:cs="Times New Roman"/>
          <w:color w:val="auto"/>
          <w:sz w:val="32"/>
          <w:szCs w:val="32"/>
        </w:rPr>
        <w:t>。</w:t>
      </w:r>
    </w:p>
    <w:p w14:paraId="4C9349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2.《现场笔录》</w:t>
      </w:r>
      <w:r>
        <w:rPr>
          <w:rFonts w:hint="default" w:ascii="Times New Roman" w:hAnsi="Times New Roman" w:eastAsia="仿宋_GB2312" w:cs="Times New Roman"/>
          <w:color w:val="auto"/>
          <w:sz w:val="32"/>
          <w:szCs w:val="32"/>
          <w:lang w:val="en-US" w:eastAsia="zh-CN"/>
        </w:rPr>
        <w:t>一份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《询问笔录》</w:t>
      </w:r>
      <w:r>
        <w:rPr>
          <w:rFonts w:hint="default" w:ascii="Times New Roman" w:hAnsi="Times New Roman" w:eastAsia="仿宋_GB2312" w:cs="Times New Roman"/>
          <w:color w:val="auto"/>
          <w:sz w:val="32"/>
          <w:szCs w:val="32"/>
          <w:lang w:val="en-US" w:eastAsia="zh-CN"/>
        </w:rPr>
        <w:t>一份</w:t>
      </w:r>
      <w:r>
        <w:rPr>
          <w:rFonts w:hint="default" w:ascii="Times New Roman" w:hAnsi="Times New Roman" w:eastAsia="仿宋_GB2312" w:cs="Times New Roman"/>
          <w:color w:val="auto"/>
          <w:sz w:val="32"/>
          <w:szCs w:val="32"/>
          <w:lang w:eastAsia="zh-CN"/>
        </w:rPr>
        <w:t>，《收取六岁以上患者“具体项目”超标准收费的费用统计表》</w:t>
      </w:r>
      <w:r>
        <w:rPr>
          <w:rFonts w:hint="default" w:ascii="Times New Roman" w:hAnsi="Times New Roman" w:eastAsia="仿宋_GB2312" w:cs="Times New Roman"/>
          <w:color w:val="auto"/>
          <w:sz w:val="32"/>
          <w:szCs w:val="32"/>
          <w:lang w:val="en-US" w:eastAsia="zh-CN"/>
        </w:rPr>
        <w:t>一份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2023年、2024年收费系统导出</w:t>
      </w:r>
      <w:r>
        <w:rPr>
          <w:rFonts w:hint="default" w:ascii="Times New Roman" w:hAnsi="Times New Roman" w:eastAsia="仿宋_GB2312" w:cs="Times New Roman"/>
          <w:color w:val="auto"/>
          <w:sz w:val="32"/>
          <w:szCs w:val="32"/>
          <w:lang w:eastAsia="zh-CN"/>
        </w:rPr>
        <w:t>的《收费</w:t>
      </w:r>
      <w:r>
        <w:rPr>
          <w:rFonts w:hint="default" w:ascii="Times New Roman" w:hAnsi="Times New Roman" w:eastAsia="仿宋_GB2312" w:cs="Times New Roman"/>
          <w:color w:val="auto"/>
          <w:sz w:val="32"/>
          <w:szCs w:val="32"/>
          <w:lang w:val="en-US" w:eastAsia="zh-CN"/>
        </w:rPr>
        <w:t>明细</w:t>
      </w:r>
      <w:r>
        <w:rPr>
          <w:rFonts w:hint="default" w:ascii="Times New Roman" w:hAnsi="Times New Roman" w:eastAsia="仿宋_GB2312" w:cs="Times New Roman"/>
          <w:color w:val="auto"/>
          <w:sz w:val="32"/>
          <w:szCs w:val="32"/>
          <w:lang w:eastAsia="zh-CN"/>
        </w:rPr>
        <w:t>》一份，</w:t>
      </w:r>
      <w:r>
        <w:rPr>
          <w:rFonts w:hint="default" w:ascii="Times New Roman" w:hAnsi="Times New Roman" w:eastAsia="仿宋_GB2312" w:cs="Times New Roman"/>
          <w:color w:val="auto"/>
          <w:sz w:val="32"/>
          <w:szCs w:val="32"/>
          <w:lang w:val="en-US" w:eastAsia="zh-CN"/>
        </w:rPr>
        <w:t>涉案患者的收费清单、门（急）诊病历等材料一份共十二页，</w:t>
      </w:r>
      <w:r>
        <w:rPr>
          <w:rFonts w:hint="default" w:ascii="Times New Roman" w:hAnsi="Times New Roman" w:eastAsia="仿宋_GB2312" w:cs="Times New Roman"/>
          <w:color w:val="auto"/>
          <w:sz w:val="32"/>
          <w:szCs w:val="32"/>
        </w:rPr>
        <w:t>证明</w:t>
      </w:r>
      <w:r>
        <w:rPr>
          <w:rFonts w:hint="default" w:ascii="Times New Roman" w:hAnsi="Times New Roman" w:eastAsia="仿宋_GB2312" w:cs="Times New Roman"/>
          <w:color w:val="auto"/>
          <w:sz w:val="32"/>
          <w:szCs w:val="32"/>
          <w:lang w:eastAsia="zh-CN"/>
        </w:rPr>
        <w:t>存在</w:t>
      </w:r>
      <w:r>
        <w:rPr>
          <w:rFonts w:hint="default" w:ascii="Times New Roman" w:hAnsi="Times New Roman" w:eastAsia="仿宋_GB2312" w:cs="Times New Roman"/>
          <w:color w:val="auto"/>
          <w:sz w:val="32"/>
          <w:szCs w:val="32"/>
          <w:u w:val="none"/>
          <w:lang w:val="en-US" w:eastAsia="zh-CN"/>
        </w:rPr>
        <w:t>不执行政府指导价，</w:t>
      </w:r>
      <w:r>
        <w:rPr>
          <w:rFonts w:hint="default" w:ascii="Times New Roman" w:hAnsi="Times New Roman" w:eastAsia="仿宋_GB2312" w:cs="Times New Roman"/>
          <w:color w:val="auto"/>
          <w:sz w:val="32"/>
          <w:szCs w:val="32"/>
          <w:lang w:val="en-US" w:eastAsia="zh-CN"/>
        </w:rPr>
        <w:t>按照6岁及以下患者的收费标准，</w:t>
      </w:r>
      <w:r>
        <w:rPr>
          <w:rFonts w:hint="default" w:ascii="Times New Roman" w:hAnsi="Times New Roman" w:eastAsia="仿宋_GB2312" w:cs="Times New Roman"/>
          <w:color w:val="auto"/>
          <w:sz w:val="32"/>
          <w:szCs w:val="32"/>
          <w:lang w:eastAsia="zh-CN"/>
        </w:rPr>
        <w:t>收取大于</w:t>
      </w:r>
      <w:r>
        <w:rPr>
          <w:rFonts w:hint="default" w:ascii="Times New Roman" w:hAnsi="Times New Roman" w:eastAsia="仿宋_GB2312" w:cs="Times New Roman"/>
          <w:color w:val="auto"/>
          <w:sz w:val="32"/>
          <w:szCs w:val="32"/>
          <w:lang w:val="en-US" w:eastAsia="zh-CN"/>
        </w:rPr>
        <w:t>6岁患者医疗服务项目费用的的</w:t>
      </w:r>
      <w:r>
        <w:rPr>
          <w:rFonts w:hint="default" w:ascii="Times New Roman" w:hAnsi="Times New Roman" w:eastAsia="仿宋_GB2312" w:cs="Times New Roman"/>
          <w:color w:val="auto"/>
          <w:sz w:val="32"/>
          <w:szCs w:val="32"/>
          <w:lang w:eastAsia="zh-CN"/>
        </w:rPr>
        <w:t>事实。</w:t>
      </w:r>
    </w:p>
    <w:p w14:paraId="267EC7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highlight w:val="none"/>
          <w:lang w:val="en-US" w:eastAsia="zh-CN"/>
        </w:rPr>
        <w:t>《医疗保障监管查处基金追回通知单》一份，</w:t>
      </w:r>
      <w:r>
        <w:rPr>
          <w:rFonts w:hint="default" w:ascii="Times New Roman" w:hAnsi="Times New Roman" w:eastAsia="仿宋_GB2312" w:cs="Times New Roman"/>
          <w:color w:val="auto"/>
          <w:sz w:val="32"/>
          <w:szCs w:val="32"/>
          <w:lang w:val="en-US" w:eastAsia="zh-CN"/>
        </w:rPr>
        <w:t>《2025年审计“跑冒滴漏”专项医保基金清退明细表》一份，</w:t>
      </w:r>
      <w:r>
        <w:rPr>
          <w:rFonts w:hint="default" w:ascii="Times New Roman" w:hAnsi="Times New Roman" w:eastAsia="仿宋_GB2312" w:cs="Times New Roman"/>
          <w:color w:val="auto"/>
          <w:sz w:val="32"/>
          <w:szCs w:val="32"/>
          <w:highlight w:val="none"/>
          <w:lang w:val="en-US" w:eastAsia="zh-CN"/>
        </w:rPr>
        <w:t>转账账单截图十五份，</w:t>
      </w:r>
      <w:r>
        <w:rPr>
          <w:rFonts w:hint="default" w:ascii="Times New Roman" w:hAnsi="Times New Roman" w:eastAsia="仿宋_GB2312" w:cs="Times New Roman"/>
          <w:color w:val="auto"/>
          <w:sz w:val="32"/>
          <w:szCs w:val="32"/>
          <w:lang w:eastAsia="zh-CN"/>
        </w:rPr>
        <w:t>《柳州市柳北区长塘镇卫生院关于诊疗项目个人自费差额清退的情况说明》及附件</w:t>
      </w:r>
      <w:r>
        <w:rPr>
          <w:rFonts w:hint="default" w:ascii="Times New Roman" w:hAnsi="Times New Roman" w:eastAsia="仿宋_GB2312" w:cs="Times New Roman"/>
          <w:color w:val="auto"/>
          <w:sz w:val="32"/>
          <w:szCs w:val="32"/>
          <w:lang w:val="en-US" w:eastAsia="zh-CN"/>
        </w:rPr>
        <w:t>一份，微信退款截图十七份共三页，证明当事人将涉及医保基金支付部分350.97元全额退还至指定医保基金账户，向涉案患者退还个人自费支付部分45.37元的事实</w:t>
      </w:r>
      <w:r>
        <w:rPr>
          <w:rFonts w:hint="default" w:ascii="Times New Roman" w:hAnsi="Times New Roman" w:eastAsia="仿宋_GB2312" w:cs="Times New Roman"/>
          <w:color w:val="auto"/>
          <w:sz w:val="32"/>
          <w:szCs w:val="32"/>
          <w:lang w:eastAsia="zh-CN"/>
        </w:rPr>
        <w:t>。</w:t>
      </w:r>
    </w:p>
    <w:p w14:paraId="7194DB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4.《柳州市柳北区长塘镇卫生院关于超标准收费问题的整改报告》一份，退费公告照片一份，证明当事人以公告的形式面向社会查找患者开展退费工作，以及当事人的整改情况及退款情况。</w:t>
      </w:r>
    </w:p>
    <w:p w14:paraId="1EBFCE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19" w:firstLineChars="131"/>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highlight w:val="none"/>
          <w:lang w:val="en-US" w:eastAsia="zh-CN"/>
        </w:rPr>
        <w:t>《柳州市市场监督管理局问题线索移送函》一份，证明本案案件来源。</w:t>
      </w:r>
    </w:p>
    <w:p w14:paraId="43A98EE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上述证据</w:t>
      </w:r>
      <w:r>
        <w:rPr>
          <w:rFonts w:hint="default" w:ascii="Times New Roman" w:hAnsi="Times New Roman" w:eastAsia="仿宋_GB2312" w:cs="Times New Roman"/>
          <w:color w:val="auto"/>
          <w:sz w:val="32"/>
          <w:szCs w:val="32"/>
          <w:lang w:val="en-US" w:eastAsia="zh-CN"/>
        </w:rPr>
        <w:t>1-4</w:t>
      </w:r>
      <w:r>
        <w:rPr>
          <w:rFonts w:hint="default" w:ascii="Times New Roman" w:hAnsi="Times New Roman" w:eastAsia="仿宋_GB2312" w:cs="Times New Roman"/>
          <w:color w:val="auto"/>
          <w:sz w:val="32"/>
          <w:szCs w:val="32"/>
        </w:rPr>
        <w:t>均由</w:t>
      </w:r>
      <w:r>
        <w:rPr>
          <w:rFonts w:hint="default" w:ascii="Times New Roman" w:hAnsi="Times New Roman" w:eastAsia="仿宋_GB2312" w:cs="Times New Roman"/>
          <w:color w:val="auto"/>
          <w:sz w:val="32"/>
          <w:szCs w:val="32"/>
          <w:u w:val="none"/>
          <w:lang w:val="en-US" w:eastAsia="zh-CN"/>
        </w:rPr>
        <w:t>受</w:t>
      </w:r>
      <w:r>
        <w:rPr>
          <w:rFonts w:hint="default" w:ascii="Times New Roman" w:hAnsi="Times New Roman" w:eastAsia="仿宋_GB2312" w:cs="Times New Roman"/>
          <w:color w:val="auto"/>
          <w:sz w:val="32"/>
          <w:szCs w:val="32"/>
          <w:highlight w:val="none"/>
          <w:lang w:eastAsia="zh-CN"/>
        </w:rPr>
        <w:t>委托人</w:t>
      </w:r>
      <w:r>
        <w:rPr>
          <w:rFonts w:hint="default" w:ascii="Times New Roman" w:hAnsi="Times New Roman" w:eastAsia="仿宋_GB2312" w:cs="Times New Roman"/>
          <w:color w:val="auto"/>
          <w:sz w:val="32"/>
          <w:szCs w:val="32"/>
        </w:rPr>
        <w:t>签字确认</w:t>
      </w:r>
      <w:r>
        <w:rPr>
          <w:rFonts w:hint="default" w:ascii="Times New Roman" w:hAnsi="Times New Roman" w:eastAsia="仿宋_GB2312" w:cs="Times New Roman"/>
          <w:color w:val="auto"/>
          <w:sz w:val="32"/>
          <w:szCs w:val="32"/>
          <w:lang w:eastAsia="zh-CN"/>
        </w:rPr>
        <w:t>。</w:t>
      </w:r>
    </w:p>
    <w:p w14:paraId="148308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eastAsia="zh-CN"/>
        </w:rPr>
        <w:t>我局于202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eastAsia="zh-CN"/>
        </w:rPr>
        <w:t>年</w:t>
      </w:r>
      <w:r>
        <w:rPr>
          <w:rFonts w:hint="default" w:ascii="Times New Roman" w:hAnsi="Times New Roman" w:eastAsia="仿宋_GB2312" w:cs="Times New Roman"/>
          <w:color w:val="auto"/>
          <w:sz w:val="32"/>
          <w:szCs w:val="32"/>
          <w:highlight w:val="none"/>
          <w:u w:val="none"/>
          <w:lang w:val="en-US" w:eastAsia="zh-CN"/>
        </w:rPr>
        <w:t>8</w:t>
      </w:r>
      <w:r>
        <w:rPr>
          <w:rFonts w:hint="default" w:ascii="Times New Roman" w:hAnsi="Times New Roman" w:eastAsia="仿宋_GB2312" w:cs="Times New Roman"/>
          <w:color w:val="auto"/>
          <w:sz w:val="32"/>
          <w:szCs w:val="32"/>
          <w:highlight w:val="none"/>
          <w:u w:val="none"/>
          <w:lang w:eastAsia="zh-CN"/>
        </w:rPr>
        <w:t>月</w:t>
      </w:r>
      <w:r>
        <w:rPr>
          <w:rFonts w:hint="default" w:ascii="Times New Roman" w:hAnsi="Times New Roman" w:eastAsia="仿宋_GB2312" w:cs="Times New Roman"/>
          <w:color w:val="auto"/>
          <w:sz w:val="32"/>
          <w:szCs w:val="32"/>
          <w:highlight w:val="none"/>
          <w:u w:val="none"/>
          <w:lang w:val="en-US" w:eastAsia="zh-CN"/>
        </w:rPr>
        <w:t>25</w:t>
      </w:r>
      <w:r>
        <w:rPr>
          <w:rFonts w:hint="default" w:ascii="Times New Roman" w:hAnsi="Times New Roman" w:eastAsia="仿宋_GB2312" w:cs="Times New Roman"/>
          <w:color w:val="auto"/>
          <w:sz w:val="32"/>
          <w:szCs w:val="32"/>
          <w:highlight w:val="none"/>
          <w:u w:val="none"/>
          <w:lang w:eastAsia="zh-CN"/>
        </w:rPr>
        <w:t>日向当事人送达了《行政处罚告知书》（柳北市监罚告〔202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94</w:t>
      </w:r>
      <w:r>
        <w:rPr>
          <w:rFonts w:hint="default" w:ascii="Times New Roman" w:hAnsi="Times New Roman" w:eastAsia="仿宋_GB2312" w:cs="Times New Roman"/>
          <w:color w:val="auto"/>
          <w:sz w:val="32"/>
          <w:szCs w:val="32"/>
          <w:highlight w:val="none"/>
          <w:u w:val="none"/>
          <w:lang w:eastAsia="zh-CN"/>
        </w:rPr>
        <w:t>号），告知当事人我局拟</w:t>
      </w:r>
      <w:r>
        <w:rPr>
          <w:rFonts w:hint="default" w:ascii="Times New Roman" w:hAnsi="Times New Roman" w:eastAsia="仿宋_GB2312" w:cs="Times New Roman"/>
          <w:color w:val="auto"/>
          <w:sz w:val="32"/>
          <w:szCs w:val="32"/>
          <w:highlight w:val="none"/>
          <w:u w:val="none"/>
          <w:lang w:val="en-US" w:eastAsia="zh-CN"/>
        </w:rPr>
        <w:t>作出</w:t>
      </w:r>
      <w:r>
        <w:rPr>
          <w:rFonts w:hint="default" w:ascii="Times New Roman" w:hAnsi="Times New Roman" w:eastAsia="仿宋_GB2312" w:cs="Times New Roman"/>
          <w:color w:val="auto"/>
          <w:sz w:val="32"/>
          <w:szCs w:val="32"/>
          <w:highlight w:val="none"/>
          <w:u w:val="none"/>
          <w:lang w:eastAsia="zh-CN"/>
        </w:rPr>
        <w:t xml:space="preserve">行政处罚的事实、理由、依据、处罚内容及享有的权利。当事人在法定期限内未提出陈述、申辩。      </w:t>
      </w:r>
    </w:p>
    <w:bookmarkEnd w:id="3"/>
    <w:p w14:paraId="0DE8D8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当事人上述行为，违反了《中华人民共和国价格法》第十二条“经营者进行价格活动，应当遵守法律、法规，执行依法制定的政府指导价、政府定价和法定的价格干预措施、紧急措施。”的规定，构成不执行政府指导价的行为，应依法退还的</w:t>
      </w:r>
      <w:r>
        <w:rPr>
          <w:rFonts w:hint="default" w:ascii="Times New Roman" w:hAnsi="Times New Roman" w:eastAsia="仿宋_GB2312" w:cs="Times New Roman"/>
          <w:color w:val="auto"/>
          <w:sz w:val="32"/>
          <w:szCs w:val="32"/>
          <w:lang w:val="en-US" w:eastAsia="zh-CN"/>
        </w:rPr>
        <w:t>400元为</w:t>
      </w:r>
      <w:r>
        <w:rPr>
          <w:rFonts w:hint="default" w:ascii="Times New Roman" w:hAnsi="Times New Roman" w:eastAsia="仿宋_GB2312" w:cs="Times New Roman"/>
          <w:color w:val="auto"/>
          <w:sz w:val="32"/>
          <w:szCs w:val="32"/>
          <w:lang w:eastAsia="zh-CN"/>
        </w:rPr>
        <w:t>违法所得</w:t>
      </w:r>
      <w:r>
        <w:rPr>
          <w:rFonts w:hint="default" w:ascii="Times New Roman" w:hAnsi="Times New Roman" w:eastAsia="仿宋_GB2312" w:cs="Times New Roman"/>
          <w:color w:val="auto"/>
          <w:sz w:val="32"/>
          <w:szCs w:val="32"/>
          <w:lang w:val="en-US" w:eastAsia="zh-CN"/>
        </w:rPr>
        <w:t>基数，未清退的3.66元属应予以没收的违法所得</w:t>
      </w:r>
      <w:r>
        <w:rPr>
          <w:rFonts w:hint="default" w:ascii="Times New Roman" w:hAnsi="Times New Roman" w:eastAsia="仿宋_GB2312" w:cs="Times New Roman"/>
          <w:color w:val="auto"/>
          <w:sz w:val="32"/>
          <w:szCs w:val="32"/>
          <w:u w:val="none"/>
          <w:lang w:val="en-US" w:eastAsia="zh-CN"/>
        </w:rPr>
        <w:t>。</w:t>
      </w:r>
    </w:p>
    <w:p w14:paraId="5F7198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highlight w:val="none"/>
          <w:u w:val="none" w:color="auto"/>
          <w:lang w:val="en-US" w:eastAsia="zh-CN"/>
        </w:rPr>
      </w:pPr>
      <w:r>
        <w:rPr>
          <w:rFonts w:hint="default" w:ascii="Times New Roman" w:hAnsi="Times New Roman" w:eastAsia="仿宋_GB2312" w:cs="Times New Roman"/>
          <w:color w:val="auto"/>
          <w:sz w:val="32"/>
          <w:szCs w:val="32"/>
          <w:u w:val="none"/>
          <w:lang w:val="en-US" w:eastAsia="zh-CN"/>
        </w:rPr>
        <w:t>当事人在案件调查过程中能够积极配合我局调查工作，主动提供收费明细等相关材料，如实陈述违法事实，</w:t>
      </w:r>
      <w:r>
        <w:rPr>
          <w:rFonts w:hint="default" w:ascii="Times New Roman" w:hAnsi="Times New Roman" w:eastAsia="仿宋_GB2312" w:cs="Times New Roman"/>
          <w:b w:val="0"/>
          <w:bCs w:val="0"/>
          <w:color w:val="auto"/>
          <w:kern w:val="2"/>
          <w:sz w:val="32"/>
          <w:szCs w:val="32"/>
          <w:u w:val="none" w:color="auto"/>
          <w:shd w:val="clear" w:color="auto" w:fill="FFFFFF"/>
          <w:lang w:eastAsia="zh-CN"/>
        </w:rPr>
        <w:t>积极清退违规收费款项，</w:t>
      </w:r>
      <w:r>
        <w:rPr>
          <w:rFonts w:hint="default" w:ascii="Times New Roman" w:hAnsi="Times New Roman" w:eastAsia="仿宋_GB2312" w:cs="Times New Roman"/>
          <w:color w:val="auto"/>
          <w:sz w:val="32"/>
          <w:szCs w:val="32"/>
          <w:u w:val="none"/>
          <w:lang w:val="en-US" w:eastAsia="zh-CN"/>
        </w:rPr>
        <w:t>同时组织问题整改及自查自纠工作，</w:t>
      </w:r>
      <w:r>
        <w:rPr>
          <w:rFonts w:hint="default" w:ascii="Times New Roman" w:hAnsi="Times New Roman" w:eastAsia="仿宋_GB2312" w:cs="Times New Roman"/>
          <w:b w:val="0"/>
          <w:bCs w:val="0"/>
          <w:color w:val="auto"/>
          <w:kern w:val="2"/>
          <w:sz w:val="32"/>
          <w:szCs w:val="32"/>
          <w:u w:val="none" w:color="auto"/>
          <w:shd w:val="clear" w:color="auto" w:fill="FFFFFF"/>
          <w:lang w:eastAsia="zh-CN"/>
        </w:rPr>
        <w:t>主动消除违法行为危害后果，具有</w:t>
      </w:r>
      <w:r>
        <w:rPr>
          <w:rFonts w:hint="default" w:ascii="Times New Roman" w:hAnsi="Times New Roman" w:eastAsia="仿宋_GB2312" w:cs="Times New Roman"/>
          <w:color w:val="auto"/>
          <w:kern w:val="2"/>
          <w:sz w:val="32"/>
          <w:szCs w:val="32"/>
          <w:shd w:val="clear" w:color="auto" w:fill="FFFFFF"/>
        </w:rPr>
        <w:t>《广西壮族自治区市场监督管理行政处罚裁量基准(</w:t>
      </w:r>
      <w:r>
        <w:rPr>
          <w:rFonts w:hint="default" w:ascii="Times New Roman" w:hAnsi="Times New Roman" w:eastAsia="仿宋_GB2312" w:cs="Times New Roman"/>
          <w:color w:val="auto"/>
          <w:kern w:val="2"/>
          <w:sz w:val="32"/>
          <w:szCs w:val="32"/>
          <w:shd w:val="clear" w:color="auto" w:fill="FFFFFF"/>
          <w:lang w:val="en-US" w:eastAsia="zh-CN"/>
        </w:rPr>
        <w:t>2023版）</w:t>
      </w:r>
      <w:r>
        <w:rPr>
          <w:rFonts w:hint="default" w:ascii="Times New Roman" w:hAnsi="Times New Roman" w:eastAsia="仿宋_GB2312" w:cs="Times New Roman"/>
          <w:color w:val="auto"/>
          <w:kern w:val="2"/>
          <w:sz w:val="32"/>
          <w:szCs w:val="32"/>
          <w:shd w:val="clear" w:color="auto" w:fill="FFFFFF"/>
        </w:rPr>
        <w:t>》中</w:t>
      </w:r>
      <w:r>
        <w:rPr>
          <w:rFonts w:hint="default" w:ascii="Times New Roman" w:hAnsi="Times New Roman" w:eastAsia="仿宋_GB2312" w:cs="Times New Roman"/>
          <w:color w:val="auto"/>
          <w:kern w:val="2"/>
          <w:sz w:val="32"/>
          <w:szCs w:val="32"/>
          <w:shd w:val="clear" w:color="auto" w:fill="FFFFFF"/>
          <w:lang w:eastAsia="zh-CN"/>
        </w:rPr>
        <w:t>《价格法》行政处罚裁量基准“</w:t>
      </w:r>
      <w:r>
        <w:rPr>
          <w:rFonts w:hint="default" w:ascii="Times New Roman" w:hAnsi="Times New Roman" w:eastAsia="仿宋_GB2312" w:cs="Times New Roman"/>
          <w:color w:val="auto"/>
          <w:sz w:val="32"/>
          <w:szCs w:val="32"/>
        </w:rPr>
        <w:t>主动消除或者减轻违法行为危害后果的</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2"/>
          <w:sz w:val="32"/>
          <w:szCs w:val="32"/>
          <w:shd w:val="clear" w:color="auto" w:fill="FFFFFF"/>
          <w:lang w:eastAsia="zh-CN"/>
        </w:rPr>
        <w:t>”裁量标准“</w:t>
      </w:r>
      <w:r>
        <w:rPr>
          <w:rFonts w:hint="default" w:ascii="Times New Roman" w:hAnsi="Times New Roman" w:eastAsia="仿宋_GB2312" w:cs="Times New Roman"/>
          <w:color w:val="auto"/>
          <w:kern w:val="0"/>
          <w:sz w:val="32"/>
          <w:szCs w:val="32"/>
          <w:shd w:val="clear" w:color="auto" w:fill="FFFFFF"/>
        </w:rPr>
        <w:t>责令改正，没收违法所得，可以并处违法所得1.5倍以下的罚款；没有违法所得的，可以处以罚款。</w:t>
      </w:r>
      <w:r>
        <w:rPr>
          <w:rFonts w:hint="default" w:ascii="Times New Roman" w:hAnsi="Times New Roman" w:eastAsia="仿宋_GB2312" w:cs="Times New Roman"/>
          <w:color w:val="auto"/>
          <w:kern w:val="2"/>
          <w:sz w:val="32"/>
          <w:szCs w:val="32"/>
          <w:shd w:val="clear" w:color="auto" w:fill="FFFFFF"/>
          <w:lang w:eastAsia="zh-CN"/>
        </w:rPr>
        <w:t>”从轻</w:t>
      </w:r>
      <w:r>
        <w:rPr>
          <w:rFonts w:hint="default" w:ascii="Times New Roman" w:hAnsi="Times New Roman" w:eastAsia="仿宋_GB2312" w:cs="Times New Roman"/>
          <w:color w:val="auto"/>
          <w:kern w:val="2"/>
          <w:sz w:val="32"/>
          <w:szCs w:val="32"/>
          <w:shd w:val="clear" w:color="auto" w:fill="FFFFFF"/>
        </w:rPr>
        <w:t>处罚</w:t>
      </w:r>
      <w:r>
        <w:rPr>
          <w:rFonts w:hint="default" w:ascii="Times New Roman" w:hAnsi="Times New Roman" w:eastAsia="仿宋_GB2312" w:cs="Times New Roman"/>
          <w:color w:val="auto"/>
          <w:kern w:val="2"/>
          <w:sz w:val="32"/>
          <w:szCs w:val="32"/>
          <w:shd w:val="clear" w:color="auto" w:fill="FFFFFF"/>
          <w:lang w:eastAsia="zh-CN"/>
        </w:rPr>
        <w:t>规定的情形</w:t>
      </w:r>
      <w:r>
        <w:rPr>
          <w:rFonts w:hint="default" w:ascii="Times New Roman" w:hAnsi="Times New Roman" w:eastAsia="仿宋_GB2312" w:cs="Times New Roman"/>
          <w:color w:val="auto"/>
          <w:kern w:val="2"/>
          <w:sz w:val="32"/>
          <w:szCs w:val="32"/>
          <w:shd w:val="clear" w:color="auto" w:fill="FFFFFF"/>
        </w:rPr>
        <w:t>，</w:t>
      </w:r>
      <w:r>
        <w:rPr>
          <w:rFonts w:hint="default" w:ascii="Times New Roman" w:hAnsi="Times New Roman" w:eastAsia="仿宋_GB2312" w:cs="Times New Roman"/>
          <w:color w:val="auto"/>
          <w:kern w:val="2"/>
          <w:sz w:val="32"/>
          <w:szCs w:val="32"/>
          <w:shd w:val="clear" w:color="auto" w:fill="FFFFFF"/>
          <w:lang w:eastAsia="zh-CN"/>
        </w:rPr>
        <w:t>依据《中华人民共和国行政处罚法》第五条、第六条的规定，我局决定</w:t>
      </w:r>
      <w:r>
        <w:rPr>
          <w:rFonts w:hint="default" w:ascii="Times New Roman" w:hAnsi="Times New Roman" w:eastAsia="仿宋_GB2312" w:cs="Times New Roman"/>
          <w:color w:val="auto"/>
          <w:kern w:val="2"/>
          <w:sz w:val="32"/>
          <w:szCs w:val="32"/>
          <w:shd w:val="clear" w:color="auto" w:fill="FFFFFF"/>
        </w:rPr>
        <w:t>给予当事人</w:t>
      </w:r>
      <w:r>
        <w:rPr>
          <w:rFonts w:hint="default" w:ascii="Times New Roman" w:hAnsi="Times New Roman" w:eastAsia="仿宋_GB2312" w:cs="Times New Roman"/>
          <w:color w:val="auto"/>
          <w:kern w:val="2"/>
          <w:sz w:val="32"/>
          <w:szCs w:val="32"/>
          <w:shd w:val="clear" w:color="auto" w:fill="FFFFFF"/>
          <w:lang w:eastAsia="zh-CN"/>
        </w:rPr>
        <w:t>从轻</w:t>
      </w:r>
      <w:r>
        <w:rPr>
          <w:rFonts w:hint="default" w:ascii="Times New Roman" w:hAnsi="Times New Roman" w:eastAsia="仿宋_GB2312" w:cs="Times New Roman"/>
          <w:color w:val="auto"/>
          <w:kern w:val="2"/>
          <w:sz w:val="32"/>
          <w:szCs w:val="32"/>
          <w:shd w:val="clear" w:color="auto" w:fill="FFFFFF"/>
        </w:rPr>
        <w:t>行政处罚。</w:t>
      </w:r>
      <w:r>
        <w:rPr>
          <w:rFonts w:hint="default" w:ascii="Times New Roman" w:hAnsi="Times New Roman" w:eastAsia="仿宋_GB2312" w:cs="Times New Roman"/>
          <w:color w:val="auto"/>
          <w:sz w:val="32"/>
          <w:szCs w:val="32"/>
        </w:rPr>
        <w:t xml:space="preserve"> </w:t>
      </w:r>
    </w:p>
    <w:p w14:paraId="2292C7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lang w:val="en-US" w:eastAsia="zh-CN"/>
        </w:rPr>
        <w:t>依据《中华人民共和国价格法》第三十九条“经营者不执行政府指导价、政府定价以及法定的价格干预措施、紧急措施的，责令改正，没收违法所得，可以并处违法所得五倍以下的罚款;没有违法所得的，可以处以罚款;情节严重的，责令停业整顿。”</w:t>
      </w:r>
      <w:r>
        <w:rPr>
          <w:rFonts w:hint="default" w:ascii="Times New Roman" w:hAnsi="Times New Roman" w:eastAsia="仿宋_GB2312" w:cs="Times New Roman"/>
          <w:color w:val="auto"/>
          <w:sz w:val="32"/>
          <w:szCs w:val="32"/>
          <w:u w:val="none" w:color="auto"/>
          <w:lang w:val="zh-CN" w:eastAsia="zh-CN"/>
        </w:rPr>
        <w:t>的规定，</w:t>
      </w:r>
      <w:r>
        <w:rPr>
          <w:rFonts w:hint="default" w:ascii="Times New Roman" w:hAnsi="Times New Roman" w:eastAsia="仿宋_GB2312" w:cs="Times New Roman"/>
          <w:bCs/>
          <w:strike w:val="0"/>
          <w:dstrike w:val="0"/>
          <w:color w:val="auto"/>
          <w:sz w:val="32"/>
          <w:szCs w:val="32"/>
          <w:u w:val="none"/>
          <w:lang w:val="en-US" w:eastAsia="zh-CN"/>
        </w:rPr>
        <w:t>我局决定责令当事人立即改正上述违法行为，</w:t>
      </w:r>
      <w:r>
        <w:rPr>
          <w:rFonts w:hint="default" w:ascii="Times New Roman" w:hAnsi="Times New Roman" w:eastAsia="仿宋_GB2312" w:cs="Times New Roman"/>
          <w:color w:val="auto"/>
          <w:kern w:val="2"/>
          <w:sz w:val="32"/>
          <w:szCs w:val="32"/>
          <w:lang w:val="en-US" w:eastAsia="zh-CN" w:bidi="ar-SA"/>
        </w:rPr>
        <w:t>并给予当事人没收违法所得3.66元、罚款396.34元的行政处罚。</w:t>
      </w:r>
    </w:p>
    <w:p w14:paraId="579749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kern w:val="2"/>
          <w:sz w:val="32"/>
          <w:szCs w:val="32"/>
          <w:lang w:val="en-US" w:eastAsia="zh-CN" w:bidi="ar-SA"/>
        </w:rPr>
        <w:t>上述罚没款合计金额400元。</w:t>
      </w:r>
      <w:r>
        <w:rPr>
          <w:rFonts w:hint="default" w:ascii="Times New Roman" w:hAnsi="Times New Roman" w:eastAsia="仿宋_GB2312" w:cs="Times New Roman"/>
          <w:color w:val="auto"/>
          <w:sz w:val="32"/>
          <w:szCs w:val="32"/>
          <w:highlight w:val="none"/>
          <w:u w:val="none"/>
          <w:lang w:eastAsia="zh-CN"/>
        </w:rPr>
        <w:t xml:space="preserve">  </w:t>
      </w:r>
    </w:p>
    <w:p w14:paraId="28AA1B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lang w:val="en-US" w:eastAsia="zh-CN"/>
        </w:rPr>
        <w:t>当事人应当自收到接到本处罚决定书之日起15日内，凭《广西壮族自治区非税收入电子缴款通知书》到中国建设银行或者柳州银行缴纳上述款项</w:t>
      </w:r>
      <w:r>
        <w:rPr>
          <w:rFonts w:hint="default" w:ascii="Times New Roman" w:hAnsi="Times New Roman" w:eastAsia="仿宋_GB2312" w:cs="Times New Roman"/>
          <w:color w:val="auto"/>
          <w:sz w:val="32"/>
          <w:szCs w:val="32"/>
          <w:highlight w:val="none"/>
          <w:u w:val="none"/>
          <w:lang w:val="en-US" w:eastAsia="zh-CN"/>
        </w:rPr>
        <w:t>（附言备注20位缴款通知书编号）</w:t>
      </w:r>
      <w:r>
        <w:rPr>
          <w:rFonts w:hint="default" w:ascii="Times New Roman" w:hAnsi="Times New Roman" w:eastAsia="仿宋_GB2312" w:cs="Times New Roman"/>
          <w:color w:val="auto"/>
          <w:sz w:val="32"/>
          <w:szCs w:val="32"/>
          <w:lang w:val="en-US" w:eastAsia="zh-CN"/>
        </w:rPr>
        <w:t>。逾期不缴纳罚款的，依据《价格违法行为行政处罚规定》第二十一条的规定，我局将每日按罚款数额的3%加处罚款；逾期不缴纳违法所得的，依据《价格违法行为行政处罚规定》第二十一条的规定，我局将每日按违法所得数额的2‰加处罚款；同时依据《中华人民共和国行政处罚法》第七十二条的规定，我局将依法申请人民法院强制执行。</w:t>
      </w:r>
      <w:r>
        <w:rPr>
          <w:rFonts w:hint="default" w:ascii="Times New Roman" w:hAnsi="Times New Roman" w:eastAsia="仿宋_GB2312" w:cs="Times New Roman"/>
          <w:color w:val="auto"/>
          <w:sz w:val="32"/>
          <w:szCs w:val="32"/>
          <w:highlight w:val="none"/>
          <w:u w:val="none"/>
          <w:lang w:eastAsia="zh-CN"/>
        </w:rPr>
        <w:t xml:space="preserve">                    </w:t>
      </w:r>
    </w:p>
    <w:p w14:paraId="0CF434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eastAsia="zh-CN"/>
        </w:rPr>
        <w:t>当事人如不服本行政处罚决定，可以在接到本行政处罚决定书之日起六十日内向柳州市柳北区人民政府申请行政复议。</w:t>
      </w:r>
      <w:r>
        <w:rPr>
          <w:rFonts w:hint="default" w:ascii="Times New Roman" w:hAnsi="Times New Roman" w:eastAsia="仿宋_GB2312" w:cs="Times New Roman"/>
          <w:color w:val="auto"/>
          <w:sz w:val="32"/>
          <w:szCs w:val="32"/>
          <w:highlight w:val="none"/>
          <w:u w:val="none"/>
          <w:lang w:val="en-US" w:eastAsia="zh-CN"/>
        </w:rPr>
        <w:t>申请行政复议期间，行政处罚不停止执行。</w:t>
      </w:r>
    </w:p>
    <w:p w14:paraId="3F3824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p>
    <w:p w14:paraId="1EFE74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p>
    <w:p w14:paraId="62001B98">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u w:val="none"/>
          <w:lang w:eastAsia="zh-CN"/>
        </w:rPr>
        <w:t>柳州市柳北区市场监督管理局</w:t>
      </w:r>
    </w:p>
    <w:p w14:paraId="238866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lang w:eastAsia="zh-CN"/>
        </w:rPr>
        <w:t xml:space="preserve">                           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eastAsia="zh-CN"/>
        </w:rPr>
        <w:t>年</w:t>
      </w:r>
      <w:r>
        <w:rPr>
          <w:rFonts w:hint="default" w:ascii="Times New Roman" w:hAnsi="Times New Roman" w:eastAsia="仿宋_GB2312" w:cs="Times New Roman"/>
          <w:color w:val="auto"/>
          <w:sz w:val="32"/>
          <w:szCs w:val="32"/>
          <w:highlight w:val="none"/>
          <w:u w:val="none"/>
          <w:lang w:val="en-US" w:eastAsia="zh-CN"/>
        </w:rPr>
        <w:t>9</w:t>
      </w:r>
      <w:r>
        <w:rPr>
          <w:rFonts w:hint="default" w:ascii="Times New Roman" w:hAnsi="Times New Roman" w:eastAsia="仿宋_GB2312" w:cs="Times New Roman"/>
          <w:color w:val="auto"/>
          <w:sz w:val="32"/>
          <w:szCs w:val="32"/>
          <w:highlight w:val="none"/>
          <w:u w:val="none"/>
          <w:lang w:eastAsia="zh-CN"/>
        </w:rPr>
        <w:t>月</w:t>
      </w:r>
      <w:r>
        <w:rPr>
          <w:rFonts w:hint="eastAsia" w:ascii="Times New Roman" w:hAnsi="Times New Roman" w:eastAsia="仿宋_GB2312" w:cs="Times New Roman"/>
          <w:color w:val="auto"/>
          <w:sz w:val="32"/>
          <w:szCs w:val="32"/>
          <w:highlight w:val="none"/>
          <w:u w:val="none"/>
          <w:lang w:val="en-US" w:eastAsia="zh-CN"/>
        </w:rPr>
        <w:t>7</w:t>
      </w:r>
      <w:r>
        <w:rPr>
          <w:rFonts w:hint="default" w:ascii="Times New Roman" w:hAnsi="Times New Roman" w:eastAsia="仿宋_GB2312" w:cs="Times New Roman"/>
          <w:color w:val="auto"/>
          <w:sz w:val="32"/>
          <w:szCs w:val="32"/>
          <w:highlight w:val="none"/>
          <w:u w:val="none"/>
          <w:lang w:eastAsia="zh-CN"/>
        </w:rPr>
        <w:t>日</w:t>
      </w:r>
    </w:p>
    <w:p w14:paraId="40CD23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p>
    <w:p w14:paraId="774738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p>
    <w:p w14:paraId="3ACB74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p>
    <w:p w14:paraId="0A5F01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p>
    <w:p w14:paraId="4C9E86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p>
    <w:p w14:paraId="15DB6C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p>
    <w:p w14:paraId="4C3772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p>
    <w:bookmarkEnd w:id="4"/>
    <w:p w14:paraId="5E6F2622">
      <w:pPr>
        <w:keepNext w:val="0"/>
        <w:keepLines w:val="0"/>
        <w:pageBreakBefore w:val="0"/>
        <w:widowControl w:val="0"/>
        <w:kinsoku/>
        <w:wordWrap/>
        <w:overflowPunct/>
        <w:topLinePunct w:val="0"/>
        <w:autoSpaceDE/>
        <w:autoSpaceDN/>
        <w:bidi w:val="0"/>
        <w:adjustRightInd/>
        <w:snapToGrid/>
        <w:spacing w:line="400" w:lineRule="exact"/>
        <w:ind w:right="-105" w:rightChars="-50" w:firstLine="0" w:firstLineChars="0"/>
        <w:jc w:val="both"/>
        <w:textAlignment w:val="auto"/>
        <w:outlineLvl w:val="9"/>
        <w:rPr>
          <w:rFonts w:hint="default" w:ascii="Times New Roman" w:hAnsi="Times New Roman" w:eastAsia="仿宋_GB2312" w:cs="Times New Roman"/>
          <w:b/>
          <w:color w:val="auto"/>
          <w:sz w:val="32"/>
          <w:szCs w:val="32"/>
        </w:rPr>
      </w:pPr>
      <w:r>
        <w:rPr>
          <w:rFonts w:hint="default" w:ascii="Times New Roman" w:hAnsi="Times New Roman" w:eastAsia="黑体" w:cs="Times New Roman"/>
          <w:b w:val="0"/>
          <w:bCs/>
          <w:color w:val="auto"/>
          <w:sz w:val="32"/>
          <w:szCs w:val="32"/>
          <w:u w:val="none"/>
        </w:rPr>
        <w:t>(市场监督管理部门将依法向社会公示本行政处罚决定信息）</w:t>
      </w:r>
    </w:p>
    <w:p w14:paraId="1898BC3C">
      <w:pPr>
        <w:keepNext w:val="0"/>
        <w:keepLines w:val="0"/>
        <w:pageBreakBefore w:val="0"/>
        <w:widowControl w:val="0"/>
        <w:kinsoku/>
        <w:wordWrap/>
        <w:overflowPunct/>
        <w:topLinePunct w:val="0"/>
        <w:autoSpaceDE/>
        <w:autoSpaceDN/>
        <w:bidi w:val="0"/>
        <w:adjustRightInd/>
        <w:snapToGrid/>
        <w:spacing w:line="400" w:lineRule="exact"/>
        <w:ind w:left="-105" w:leftChars="-50" w:right="-105" w:rightChars="-50" w:firstLine="0" w:firstLineChars="0"/>
        <w:jc w:val="both"/>
        <w:textAlignment w:val="auto"/>
        <w:outlineLvl w:val="9"/>
        <w:rPr>
          <w:rFonts w:hint="default" w:ascii="Times New Roman" w:hAnsi="Times New Roman" w:cs="Times New Roman"/>
          <w:color w:val="auto"/>
        </w:rPr>
      </w:pPr>
      <w:r>
        <w:rPr>
          <w:rFonts w:hint="default" w:ascii="Times New Roman" w:hAnsi="Times New Roman" w:eastAsia="黑体" w:cs="Times New Roman"/>
          <w:b w:val="0"/>
          <w:bCs/>
          <w:color w:val="auto"/>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-144780</wp:posOffset>
                </wp:positionH>
                <wp:positionV relativeFrom="paragraph">
                  <wp:posOffset>-1270</wp:posOffset>
                </wp:positionV>
                <wp:extent cx="5995035" cy="20320"/>
                <wp:effectExtent l="0" t="4445" r="5715" b="13335"/>
                <wp:wrapNone/>
                <wp:docPr id="2" name="直接连接符 2"/>
                <wp:cNvGraphicFramePr/>
                <a:graphic xmlns:a="http://schemas.openxmlformats.org/drawingml/2006/main">
                  <a:graphicData uri="http://schemas.microsoft.com/office/word/2010/wordprocessingShape">
                    <wps:wsp>
                      <wps:cNvCnPr/>
                      <wps:spPr>
                        <a:xfrm flipV="1">
                          <a:off x="0" y="0"/>
                          <a:ext cx="5995035" cy="2032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11.4pt;margin-top:-0.1pt;height:1.6pt;width:472.05pt;z-index:251660288;mso-width-relative:page;mso-height-relative:page;" filled="f" stroked="t" coordsize="21600,21600" o:gfxdata="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VkmJe1QAAAAcBAAAPAAAAAAAAAAEAIAAAACIAAABkcnMv&#10;ZG93bnJldi54bWxQSwECFAAUAAAACACHTuJAE02dtgYCAAAABAAADgAAAAAAAAABACAAAAAkAQAA&#10;ZHJzL2Uyb0RvYy54bWxQSwUGAAAAAAYABgBZAQAAnAU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u w:val="none"/>
        </w:rPr>
        <w:t>本文书一式三份，一份送达，一份归档，一份办案单位留存。</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A31607-F04E-45FF-8723-87524CFB663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2" w:fontKey="{45EF5CB7-70BA-42CD-8558-527897F609EB}"/>
  </w:font>
  <w:font w:name="方正小标宋简体">
    <w:panose1 w:val="03000509000000000000"/>
    <w:charset w:val="86"/>
    <w:family w:val="script"/>
    <w:pitch w:val="default"/>
    <w:sig w:usb0="00000001" w:usb1="080E0000" w:usb2="00000000" w:usb3="00000000" w:csb0="00040000" w:csb1="00000000"/>
    <w:embedRegular r:id="rId3" w:fontKey="{039F1F88-5934-4F71-8C7F-D22A9A634D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4230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9D198">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899D198">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3YTBkMWQ0YjY1ZmFkN2U0ODZmZjg4MjdlNzIxZTIifQ=="/>
    <w:docVar w:name="KSO_WPS_MARK_KEY" w:val="3a570657-d4b9-4633-8bde-b1be1a221b99"/>
  </w:docVars>
  <w:rsids>
    <w:rsidRoot w:val="5BA419F7"/>
    <w:rsid w:val="00193C35"/>
    <w:rsid w:val="0032134F"/>
    <w:rsid w:val="010A478A"/>
    <w:rsid w:val="01F02AF8"/>
    <w:rsid w:val="02B83402"/>
    <w:rsid w:val="042774DD"/>
    <w:rsid w:val="048D2705"/>
    <w:rsid w:val="04CD463F"/>
    <w:rsid w:val="04FA4431"/>
    <w:rsid w:val="05C51508"/>
    <w:rsid w:val="06476E0A"/>
    <w:rsid w:val="06BAE61F"/>
    <w:rsid w:val="06FA3032"/>
    <w:rsid w:val="071C7669"/>
    <w:rsid w:val="07580619"/>
    <w:rsid w:val="0776795A"/>
    <w:rsid w:val="07DA78EE"/>
    <w:rsid w:val="08365B64"/>
    <w:rsid w:val="087864F3"/>
    <w:rsid w:val="090B4D3A"/>
    <w:rsid w:val="09290BEC"/>
    <w:rsid w:val="09AA7B69"/>
    <w:rsid w:val="0A2F38BD"/>
    <w:rsid w:val="0A3665F0"/>
    <w:rsid w:val="0B22091D"/>
    <w:rsid w:val="0C5E2956"/>
    <w:rsid w:val="0CF71776"/>
    <w:rsid w:val="0D242541"/>
    <w:rsid w:val="0FB748D6"/>
    <w:rsid w:val="103E22C5"/>
    <w:rsid w:val="11524677"/>
    <w:rsid w:val="115320F9"/>
    <w:rsid w:val="119E3BCA"/>
    <w:rsid w:val="1350279A"/>
    <w:rsid w:val="14203063"/>
    <w:rsid w:val="143E1E38"/>
    <w:rsid w:val="1490670C"/>
    <w:rsid w:val="152E563E"/>
    <w:rsid w:val="15B93156"/>
    <w:rsid w:val="16D23D7F"/>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37778B4"/>
    <w:rsid w:val="23F5677C"/>
    <w:rsid w:val="24626694"/>
    <w:rsid w:val="258D6CE0"/>
    <w:rsid w:val="27A45517"/>
    <w:rsid w:val="2B1B3EFC"/>
    <w:rsid w:val="2CEA3815"/>
    <w:rsid w:val="2DE10173"/>
    <w:rsid w:val="2F327E79"/>
    <w:rsid w:val="2F7CE1EF"/>
    <w:rsid w:val="2F8A6913"/>
    <w:rsid w:val="30446459"/>
    <w:rsid w:val="30DB5683"/>
    <w:rsid w:val="30FA2F6D"/>
    <w:rsid w:val="314E49B7"/>
    <w:rsid w:val="31562B39"/>
    <w:rsid w:val="31BE0AF5"/>
    <w:rsid w:val="31FD574D"/>
    <w:rsid w:val="32CE76E8"/>
    <w:rsid w:val="3334290F"/>
    <w:rsid w:val="33740640"/>
    <w:rsid w:val="3585615B"/>
    <w:rsid w:val="35DC59EE"/>
    <w:rsid w:val="363C12E3"/>
    <w:rsid w:val="368E5656"/>
    <w:rsid w:val="377FBB27"/>
    <w:rsid w:val="37F16547"/>
    <w:rsid w:val="38B63DA7"/>
    <w:rsid w:val="3930619F"/>
    <w:rsid w:val="3A4E178D"/>
    <w:rsid w:val="3BF97ECA"/>
    <w:rsid w:val="3C2965F0"/>
    <w:rsid w:val="3D6B1177"/>
    <w:rsid w:val="3E5F4AE1"/>
    <w:rsid w:val="3E853745"/>
    <w:rsid w:val="3F2604DF"/>
    <w:rsid w:val="3F345AEE"/>
    <w:rsid w:val="3F6783E4"/>
    <w:rsid w:val="3F842066"/>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C8271B"/>
    <w:rsid w:val="4D9306AE"/>
    <w:rsid w:val="4E8950D9"/>
    <w:rsid w:val="4F722566"/>
    <w:rsid w:val="4F93378A"/>
    <w:rsid w:val="503F09B5"/>
    <w:rsid w:val="50E10B6B"/>
    <w:rsid w:val="516D5500"/>
    <w:rsid w:val="52802336"/>
    <w:rsid w:val="53A0483E"/>
    <w:rsid w:val="547C0750"/>
    <w:rsid w:val="55677E45"/>
    <w:rsid w:val="55FE5622"/>
    <w:rsid w:val="57503162"/>
    <w:rsid w:val="58A4140A"/>
    <w:rsid w:val="591F0542"/>
    <w:rsid w:val="59A10938"/>
    <w:rsid w:val="5BA419F7"/>
    <w:rsid w:val="5BEF1DBF"/>
    <w:rsid w:val="5BF91583"/>
    <w:rsid w:val="5BFB2E57"/>
    <w:rsid w:val="5C216AB1"/>
    <w:rsid w:val="5C5D2BD9"/>
    <w:rsid w:val="5DD7483B"/>
    <w:rsid w:val="5E5FAB03"/>
    <w:rsid w:val="5E605C94"/>
    <w:rsid w:val="5EA00CBE"/>
    <w:rsid w:val="5F9FEDD5"/>
    <w:rsid w:val="5FBEF003"/>
    <w:rsid w:val="5FE33914"/>
    <w:rsid w:val="5FFA4D85"/>
    <w:rsid w:val="602422E6"/>
    <w:rsid w:val="60641B67"/>
    <w:rsid w:val="60B635F2"/>
    <w:rsid w:val="60C16F3B"/>
    <w:rsid w:val="612E7E8C"/>
    <w:rsid w:val="617678F3"/>
    <w:rsid w:val="61DC2B1A"/>
    <w:rsid w:val="636955DE"/>
    <w:rsid w:val="646E5E05"/>
    <w:rsid w:val="64E43803"/>
    <w:rsid w:val="657F58CB"/>
    <w:rsid w:val="66934D57"/>
    <w:rsid w:val="693C3AD3"/>
    <w:rsid w:val="6AD7030F"/>
    <w:rsid w:val="6BA277B7"/>
    <w:rsid w:val="6BAB2339"/>
    <w:rsid w:val="6BCC1BB9"/>
    <w:rsid w:val="6C6723F1"/>
    <w:rsid w:val="6CA517CF"/>
    <w:rsid w:val="6D064CEC"/>
    <w:rsid w:val="6D6C7F13"/>
    <w:rsid w:val="6D923254"/>
    <w:rsid w:val="6DD2313B"/>
    <w:rsid w:val="6E04767D"/>
    <w:rsid w:val="6E355D52"/>
    <w:rsid w:val="6E6950E9"/>
    <w:rsid w:val="6ED952C0"/>
    <w:rsid w:val="6F013B3F"/>
    <w:rsid w:val="6F732ABB"/>
    <w:rsid w:val="6FB36CAD"/>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C27658"/>
    <w:rsid w:val="77DF8BD4"/>
    <w:rsid w:val="77EFD5CC"/>
    <w:rsid w:val="77FFADAC"/>
    <w:rsid w:val="7835649C"/>
    <w:rsid w:val="789620E4"/>
    <w:rsid w:val="78FD530C"/>
    <w:rsid w:val="7AFB4DD2"/>
    <w:rsid w:val="7B0F6E9A"/>
    <w:rsid w:val="7BA46A39"/>
    <w:rsid w:val="7BFD6076"/>
    <w:rsid w:val="7C8E43D6"/>
    <w:rsid w:val="7C9139FE"/>
    <w:rsid w:val="7CD56130"/>
    <w:rsid w:val="7DA813EB"/>
    <w:rsid w:val="7DFF108F"/>
    <w:rsid w:val="7EA36E51"/>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2302</Words>
  <Characters>2435</Characters>
  <Lines>0</Lines>
  <Paragraphs>0</Paragraphs>
  <TotalTime>7</TotalTime>
  <ScaleCrop>false</ScaleCrop>
  <LinksUpToDate>false</LinksUpToDate>
  <CharactersWithSpaces>2591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2026-09-08T03:52:57Z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526F4C53292B48849053E71A59849707</vt:lpwstr>
  </property>
  <property fmtid="{D5CDD505-2E9C-101B-9397-08002B2CF9AE}" pid="4" name="KSOTemplateDocerSaveRecord">
    <vt:lpwstr>eyJoZGlkIjoiNjljYzBiNmJkNjNmYjA3MDkwNzQ4ZTM5NDc1MTY5NDgiLCJ1c2VySWQiOiI5MTQwNjk2NTMifQ==</vt:lpwstr>
  </property>
</Properties>
</file>