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8A71F2">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eastAsia" w:ascii="方正小标宋简体" w:hAnsi="方正小标宋简体" w:eastAsia="方正小标宋简体" w:cs="方正小标宋简体"/>
          <w:color w:val="auto"/>
          <w:sz w:val="44"/>
          <w:u w:val="none"/>
          <w:lang w:eastAsia="zh-CN"/>
        </w:rPr>
        <w:t>柳州市</w:t>
      </w:r>
      <w:r>
        <w:rPr>
          <w:rFonts w:hint="default" w:ascii="方正小标宋简体" w:hAnsi="方正小标宋简体" w:eastAsia="方正小标宋简体" w:cs="方正小标宋简体"/>
          <w:color w:val="auto"/>
          <w:sz w:val="44"/>
          <w:u w:val="none"/>
        </w:rPr>
        <w:t>柳北区市场监督管理局</w:t>
      </w:r>
      <w:bookmarkEnd w:id="0"/>
    </w:p>
    <w:p w14:paraId="66471EA4">
      <w:pPr>
        <w:pStyle w:val="3"/>
        <w:keepNext w:val="0"/>
        <w:numPr>
          <w:ilvl w:val="0"/>
          <w:numId w:val="2"/>
        </w:numPr>
        <w:spacing w:before="0" w:after="0" w:line="640" w:lineRule="exact"/>
        <w:jc w:val="center"/>
        <w:rPr>
          <w:rFonts w:hint="eastAsia" w:ascii="方正小标宋简体" w:hAnsi="方正小标宋简体" w:eastAsia="方正小标宋简体" w:cs="方正小标宋简体"/>
          <w:color w:val="auto"/>
          <w:sz w:val="44"/>
          <w:szCs w:val="44"/>
        </w:rPr>
      </w:pPr>
      <w:bookmarkStart w:id="1" w:name="_Toc76683344"/>
      <w:r>
        <w:rPr>
          <w:rFonts w:hint="eastAsia" w:ascii="方正小标宋简体" w:hAnsi="方正小标宋简体" w:eastAsia="方正小标宋简体" w:cs="方正小标宋简体"/>
          <w:color w:val="auto"/>
          <w:sz w:val="44"/>
          <w:szCs w:val="44"/>
          <w:u w:val="none"/>
          <w:lang w:val="en-US"/>
        </w:rPr>
        <w:t>行政处罚</w:t>
      </w:r>
      <w:r>
        <w:rPr>
          <w:rFonts w:hint="eastAsia" w:ascii="方正小标宋简体" w:hAnsi="方正小标宋简体" w:eastAsia="方正小标宋简体" w:cs="方正小标宋简体"/>
          <w:color w:val="auto"/>
          <w:sz w:val="44"/>
          <w:szCs w:val="44"/>
          <w:u w:val="none"/>
          <w:lang w:val="en-US" w:eastAsia="zh-Hans"/>
        </w:rPr>
        <w:t>决定</w:t>
      </w:r>
      <w:r>
        <w:rPr>
          <w:rFonts w:hint="eastAsia" w:ascii="方正小标宋简体" w:hAnsi="方正小标宋简体" w:eastAsia="方正小标宋简体" w:cs="方正小标宋简体"/>
          <w:color w:val="auto"/>
          <w:sz w:val="44"/>
          <w:szCs w:val="44"/>
          <w:u w:val="none"/>
          <w:lang w:val="en-US"/>
        </w:rPr>
        <w:t>书</w:t>
      </w:r>
      <w:bookmarkEnd w:id="1"/>
    </w:p>
    <w:p w14:paraId="42622930">
      <w:pPr>
        <w:widowControl/>
        <w:snapToGrid w:val="0"/>
        <w:spacing w:line="560" w:lineRule="exact"/>
        <w:ind w:right="55"/>
        <w:jc w:val="center"/>
        <w:outlineLvl w:val="1"/>
        <w:rPr>
          <w:rFonts w:hint="eastAsia" w:ascii="Times New Roman" w:hAnsi="仿宋_GB2312" w:eastAsia="仿宋_GB2312" w:cs="仿宋_GB2312"/>
          <w:bCs/>
          <w:color w:val="auto"/>
          <w:sz w:val="32"/>
          <w:szCs w:val="32"/>
        </w:rPr>
      </w:pPr>
      <w:bookmarkStart w:id="2" w:name="tAj_wh"/>
      <w:r>
        <w:rPr>
          <w:rFonts w:hint="eastAsia" w:ascii="Times New Roman" w:hAnsi="Times New Roman" w:eastAsia="仿宋_GB2312" w:cs="Mongolian Baiti"/>
          <w:color w:val="auto"/>
          <w:sz w:val="32"/>
          <w:u w:val="none"/>
        </w:rPr>
        <w:t>柳北市监处罚〔202</w:t>
      </w:r>
      <w:r>
        <w:rPr>
          <w:rFonts w:hint="eastAsia" w:ascii="Times New Roman" w:hAnsi="Times New Roman" w:eastAsia="仿宋_GB2312" w:cs="Mongolian Baiti"/>
          <w:color w:val="auto"/>
          <w:sz w:val="32"/>
          <w:u w:val="none"/>
          <w:lang w:val="en-US" w:eastAsia="zh-CN"/>
        </w:rPr>
        <w:t>6</w:t>
      </w:r>
      <w:r>
        <w:rPr>
          <w:rFonts w:hint="eastAsia" w:ascii="Times New Roman" w:hAnsi="Times New Roman" w:eastAsia="仿宋_GB2312" w:cs="Mongolian Baiti"/>
          <w:color w:val="auto"/>
          <w:sz w:val="32"/>
          <w:u w:val="none"/>
        </w:rPr>
        <w:t>〕</w:t>
      </w:r>
      <w:r>
        <w:rPr>
          <w:rFonts w:hint="eastAsia" w:ascii="Times New Roman" w:hAnsi="Times New Roman" w:eastAsia="仿宋_GB2312" w:cs="Mongolian Baiti"/>
          <w:color w:val="auto"/>
          <w:sz w:val="32"/>
          <w:u w:val="none"/>
          <w:lang w:val="en-US" w:eastAsia="zh-CN"/>
        </w:rPr>
        <w:t>102</w:t>
      </w:r>
      <w:r>
        <w:rPr>
          <w:rFonts w:hint="eastAsia" w:ascii="Times New Roman" w:hAnsi="Times New Roman" w:eastAsia="仿宋_GB2312" w:cs="Mongolian Baiti"/>
          <w:color w:val="auto"/>
          <w:sz w:val="32"/>
          <w:u w:val="none"/>
        </w:rPr>
        <w:t>号</w:t>
      </w:r>
      <w:bookmarkEnd w:id="2"/>
    </w:p>
    <w:p w14:paraId="282B65B4">
      <w:pPr>
        <w:keepNext w:val="0"/>
        <w:keepLines w:val="0"/>
        <w:pageBreakBefore w:val="0"/>
        <w:widowControl w:val="0"/>
        <w:kinsoku/>
        <w:wordWrap/>
        <w:overflowPunct/>
        <w:topLinePunct w:val="0"/>
        <w:autoSpaceDE/>
        <w:autoSpaceDN/>
        <w:bidi w:val="0"/>
        <w:adjustRightInd w:val="0"/>
        <w:snapToGrid/>
        <w:spacing w:line="500" w:lineRule="exact"/>
        <w:ind w:left="0" w:leftChars="0" w:right="233" w:rightChars="111"/>
        <w:textAlignment w:val="baseline"/>
        <w:rPr>
          <w:rFonts w:hint="eastAsia" w:ascii="仿宋_GB2312" w:hAnsi="仿宋_GB2312" w:eastAsia="仿宋_GB2312" w:cs="仿宋_GB2312"/>
          <w:bCs/>
          <w:color w:val="auto"/>
          <w:sz w:val="32"/>
          <w:szCs w:val="32"/>
          <w:u w:val="none" w:color="auto"/>
          <w:lang w:val="en-US" w:eastAsia="zh-CN"/>
        </w:rPr>
      </w:pPr>
    </w:p>
    <w:p w14:paraId="1E8129A8">
      <w:pPr>
        <w:keepNext w:val="0"/>
        <w:keepLines w:val="0"/>
        <w:pageBreakBefore w:val="0"/>
        <w:widowControl w:val="0"/>
        <w:kinsoku/>
        <w:wordWrap/>
        <w:overflowPunct/>
        <w:topLinePunct w:val="0"/>
        <w:autoSpaceDE/>
        <w:autoSpaceDN/>
        <w:bidi w:val="0"/>
        <w:adjustRightInd w:val="0"/>
        <w:snapToGrid/>
        <w:spacing w:line="560" w:lineRule="exact"/>
        <w:ind w:left="0" w:leftChars="0" w:right="233" w:rightChars="111"/>
        <w:textAlignment w:val="baseline"/>
        <w:rPr>
          <w:rFonts w:hint="eastAsia" w:ascii="仿宋_GB2312" w:hAnsi="仿宋_GB2312" w:eastAsia="仿宋_GB2312" w:cs="仿宋_GB2312"/>
          <w:bCs/>
          <w:color w:val="auto"/>
          <w:sz w:val="32"/>
          <w:szCs w:val="32"/>
          <w:u w:val="none" w:color="auto"/>
          <w:lang w:val="en-US" w:eastAsia="zh-CN"/>
        </w:rPr>
      </w:pPr>
      <w:r>
        <w:rPr>
          <w:rFonts w:hint="eastAsia" w:ascii="仿宋_GB2312" w:hAnsi="仿宋_GB2312" w:eastAsia="仿宋_GB2312" w:cs="仿宋_GB2312"/>
          <w:bCs/>
          <w:color w:val="auto"/>
          <w:sz w:val="32"/>
          <w:szCs w:val="32"/>
          <w:u w:val="none" w:color="auto"/>
          <w:lang w:val="en-US" w:eastAsia="zh-CN"/>
        </w:rPr>
        <w:t>当事人：柳州市柳北区池军广鲜水产店</w:t>
      </w:r>
    </w:p>
    <w:p w14:paraId="2AA968E6">
      <w:pPr>
        <w:keepNext w:val="0"/>
        <w:keepLines w:val="0"/>
        <w:pageBreakBefore w:val="0"/>
        <w:widowControl w:val="0"/>
        <w:kinsoku/>
        <w:wordWrap/>
        <w:overflowPunct/>
        <w:topLinePunct w:val="0"/>
        <w:autoSpaceDE/>
        <w:autoSpaceDN/>
        <w:bidi w:val="0"/>
        <w:adjustRightInd w:val="0"/>
        <w:snapToGrid/>
        <w:spacing w:line="560" w:lineRule="exact"/>
        <w:ind w:left="0" w:leftChars="0" w:right="233" w:rightChars="111"/>
        <w:textAlignment w:val="baseline"/>
        <w:rPr>
          <w:rFonts w:hint="eastAsia" w:ascii="仿宋_GB2312" w:hAnsi="仿宋_GB2312" w:eastAsia="仿宋_GB2312" w:cs="仿宋_GB2312"/>
          <w:bCs/>
          <w:color w:val="auto"/>
          <w:sz w:val="32"/>
          <w:szCs w:val="32"/>
          <w:u w:val="none" w:color="auto"/>
          <w:lang w:val="en-US" w:eastAsia="zh-CN"/>
        </w:rPr>
      </w:pPr>
      <w:r>
        <w:rPr>
          <w:rFonts w:hint="eastAsia" w:ascii="仿宋_GB2312" w:hAnsi="仿宋_GB2312" w:eastAsia="仿宋_GB2312" w:cs="仿宋_GB2312"/>
          <w:bCs/>
          <w:color w:val="auto"/>
          <w:sz w:val="32"/>
          <w:szCs w:val="32"/>
          <w:u w:val="none" w:color="auto"/>
          <w:lang w:val="en-US" w:eastAsia="zh-CN"/>
        </w:rPr>
        <w:t>主体资格证照名称：</w:t>
      </w:r>
      <w:r>
        <w:rPr>
          <w:rFonts w:hint="eastAsia" w:ascii="仿宋_GB2312" w:hAnsi="仿宋_GB2312" w:eastAsia="仿宋_GB2312" w:cs="仿宋_GB2312"/>
          <w:color w:val="auto"/>
          <w:kern w:val="1"/>
          <w:sz w:val="32"/>
          <w:szCs w:val="32"/>
          <w:u w:val="none"/>
          <w:lang w:val="en-US" w:eastAsia="zh-CN"/>
        </w:rPr>
        <w:t>营业执照</w:t>
      </w:r>
      <w:r>
        <w:rPr>
          <w:rFonts w:hint="eastAsia" w:ascii="仿宋_GB2312" w:hAnsi="仿宋_GB2312" w:eastAsia="仿宋_GB2312" w:cs="仿宋_GB2312"/>
          <w:bCs/>
          <w:color w:val="auto"/>
          <w:sz w:val="32"/>
          <w:szCs w:val="32"/>
          <w:u w:val="none" w:color="auto"/>
          <w:lang w:val="en-US" w:eastAsia="zh-CN"/>
        </w:rPr>
        <w:t xml:space="preserve">  </w:t>
      </w:r>
    </w:p>
    <w:p w14:paraId="321AD586">
      <w:pPr>
        <w:keepNext w:val="0"/>
        <w:keepLines w:val="0"/>
        <w:pageBreakBefore w:val="0"/>
        <w:widowControl w:val="0"/>
        <w:kinsoku/>
        <w:wordWrap/>
        <w:overflowPunct/>
        <w:topLinePunct w:val="0"/>
        <w:autoSpaceDE/>
        <w:autoSpaceDN/>
        <w:bidi w:val="0"/>
        <w:adjustRightInd w:val="0"/>
        <w:snapToGrid/>
        <w:spacing w:line="560" w:lineRule="exact"/>
        <w:ind w:left="0" w:leftChars="0" w:right="233" w:rightChars="111"/>
        <w:textAlignment w:val="baseline"/>
        <w:rPr>
          <w:rFonts w:hint="default" w:ascii="仿宋_GB2312" w:hAnsi="仿宋_GB2312" w:eastAsia="仿宋_GB2312" w:cs="仿宋_GB2312"/>
          <w:bCs/>
          <w:color w:val="auto"/>
          <w:sz w:val="32"/>
          <w:szCs w:val="32"/>
          <w:u w:val="none" w:color="auto"/>
          <w:lang w:val="en-US" w:eastAsia="zh-CN"/>
        </w:rPr>
      </w:pPr>
      <w:r>
        <w:rPr>
          <w:rFonts w:hint="eastAsia" w:ascii="仿宋_GB2312" w:hAnsi="仿宋_GB2312" w:eastAsia="仿宋_GB2312" w:cs="仿宋_GB2312"/>
          <w:bCs/>
          <w:color w:val="auto"/>
          <w:sz w:val="32"/>
          <w:szCs w:val="32"/>
          <w:u w:val="none" w:color="auto"/>
          <w:lang w:val="en-US" w:eastAsia="zh-CN"/>
        </w:rPr>
        <w:t>统一社会信用代码：92450205MA5MNY450R</w:t>
      </w:r>
    </w:p>
    <w:p w14:paraId="1973221D">
      <w:pPr>
        <w:pStyle w:val="2"/>
        <w:keepNext w:val="0"/>
        <w:keepLines w:val="0"/>
        <w:pageBreakBefore w:val="0"/>
        <w:widowControl w:val="0"/>
        <w:kinsoku/>
        <w:wordWrap/>
        <w:overflowPunct/>
        <w:topLinePunct w:val="0"/>
        <w:bidi w:val="0"/>
        <w:snapToGrid/>
        <w:spacing w:line="560" w:lineRule="exact"/>
        <w:rPr>
          <w:rFonts w:hint="default" w:hAnsi="Times New Roman" w:cs="仿宋_GB2312"/>
          <w:color w:val="auto"/>
          <w:sz w:val="32"/>
          <w:szCs w:val="32"/>
          <w:u w:val="none"/>
          <w:lang w:val="en-US" w:eastAsia="zh-CN"/>
        </w:rPr>
      </w:pPr>
      <w:r>
        <w:rPr>
          <w:rFonts w:hint="eastAsia" w:ascii="仿宋_GB2312" w:hAnsi="Times New Roman" w:eastAsia="仿宋_GB2312" w:cs="仿宋_GB2312"/>
          <w:color w:val="auto"/>
          <w:sz w:val="32"/>
          <w:szCs w:val="32"/>
          <w:u w:val="none"/>
        </w:rPr>
        <w:t>经营场所：柳州市</w:t>
      </w:r>
      <w:r>
        <w:rPr>
          <w:rFonts w:hint="eastAsia" w:hAnsi="Times New Roman" w:cs="仿宋_GB2312"/>
          <w:color w:val="auto"/>
          <w:sz w:val="32"/>
          <w:szCs w:val="32"/>
          <w:u w:val="none"/>
          <w:lang w:eastAsia="zh-CN"/>
        </w:rPr>
        <w:t>胜利商贸城内海鲜市场</w:t>
      </w:r>
      <w:r>
        <w:rPr>
          <w:rFonts w:hint="eastAsia" w:hAnsi="Times New Roman" w:cs="仿宋_GB2312"/>
          <w:color w:val="auto"/>
          <w:sz w:val="32"/>
          <w:szCs w:val="32"/>
          <w:u w:val="none"/>
          <w:lang w:val="en-US" w:eastAsia="zh-CN"/>
        </w:rPr>
        <w:t>B区7、8、9号商铺</w:t>
      </w:r>
    </w:p>
    <w:p w14:paraId="3D7AA1C9">
      <w:pPr>
        <w:pStyle w:val="2"/>
        <w:keepNext w:val="0"/>
        <w:keepLines w:val="0"/>
        <w:pageBreakBefore w:val="0"/>
        <w:widowControl w:val="0"/>
        <w:kinsoku/>
        <w:wordWrap/>
        <w:overflowPunct/>
        <w:topLinePunct w:val="0"/>
        <w:bidi w:val="0"/>
        <w:snapToGrid/>
        <w:spacing w:line="560" w:lineRule="exact"/>
        <w:rPr>
          <w:rFonts w:hint="eastAsia" w:ascii="仿宋_GB2312" w:hAnsi="仿宋_GB2312" w:eastAsia="仿宋_GB2312" w:cs="仿宋_GB2312"/>
          <w:bCs/>
          <w:color w:val="auto"/>
          <w:kern w:val="2"/>
          <w:sz w:val="32"/>
          <w:szCs w:val="32"/>
          <w:u w:val="none" w:color="auto"/>
          <w:lang w:val="en-US" w:eastAsia="zh-CN" w:bidi="ar-SA"/>
        </w:rPr>
      </w:pPr>
      <w:r>
        <w:rPr>
          <w:rFonts w:hint="eastAsia" w:ascii="仿宋_GB2312" w:hAnsi="仿宋_GB2312" w:eastAsia="仿宋_GB2312" w:cs="仿宋_GB2312"/>
          <w:bCs/>
          <w:color w:val="auto"/>
          <w:kern w:val="2"/>
          <w:sz w:val="32"/>
          <w:szCs w:val="32"/>
          <w:u w:val="none" w:color="auto"/>
          <w:lang w:val="en-US" w:eastAsia="zh-CN" w:bidi="ar-SA"/>
        </w:rPr>
        <w:t>经营者：</w:t>
      </w:r>
      <w:r>
        <w:rPr>
          <w:rFonts w:hint="eastAsia" w:hAnsi="仿宋_GB2312" w:cs="仿宋_GB2312"/>
          <w:bCs/>
          <w:color w:val="auto"/>
          <w:kern w:val="2"/>
          <w:sz w:val="32"/>
          <w:szCs w:val="32"/>
          <w:u w:val="none" w:color="auto"/>
          <w:lang w:val="en-US" w:eastAsia="zh-CN" w:bidi="ar-SA"/>
        </w:rPr>
        <w:t>王建军</w:t>
      </w:r>
    </w:p>
    <w:p w14:paraId="57BC3E6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bCs/>
          <w:color w:val="auto"/>
          <w:sz w:val="32"/>
          <w:szCs w:val="32"/>
          <w:u w:val="none" w:color="auto"/>
          <w:lang w:val="en-US" w:eastAsia="zh-CN"/>
        </w:rPr>
        <w:t>身份证件号码：*</w:t>
      </w:r>
    </w:p>
    <w:p w14:paraId="585C47E5">
      <w:pPr>
        <w:pStyle w:val="2"/>
        <w:keepNext w:val="0"/>
        <w:keepLines w:val="0"/>
        <w:pageBreakBefore w:val="0"/>
        <w:widowControl w:val="0"/>
        <w:kinsoku/>
        <w:wordWrap/>
        <w:overflowPunct/>
        <w:topLinePunct w:val="0"/>
        <w:bidi w:val="0"/>
        <w:snapToGrid/>
        <w:spacing w:line="560" w:lineRule="exact"/>
        <w:rPr>
          <w:rFonts w:hint="eastAsia"/>
          <w:color w:val="auto"/>
          <w:lang w:val="en-US" w:eastAsia="zh-CN"/>
        </w:rPr>
      </w:pPr>
    </w:p>
    <w:p w14:paraId="3BABAD9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Times New Roman" w:eastAsia="仿宋_GB2312" w:cs="仿宋_GB2312"/>
          <w:color w:val="auto"/>
          <w:sz w:val="32"/>
          <w:u w:val="none"/>
          <w:lang w:val="en-US" w:eastAsia="zh-CN"/>
        </w:rPr>
        <w:t>2026年5月7日我局执法人员对当事人进行检查时发现，当事人正在从事水产品经营且现场有一台经营活动中使用的电子计价秤，执法人员将2kg标准砝码放置在上述电子计价秤上称量时显示2.200kg。当事人涉嫌使用不合格电子计价秤，执法人员现场对该电子计价秤进行抽样送检，于2026年5月7日对当事人的上述行为进行立案调查。2026年</w:t>
      </w:r>
      <w:r>
        <w:rPr>
          <w:rFonts w:hint="eastAsia" w:ascii="仿宋_GB2312" w:hAnsi="Times New Roman" w:eastAsia="仿宋_GB2312" w:cs="仿宋_GB2312"/>
          <w:color w:val="auto"/>
          <w:sz w:val="32"/>
          <w:szCs w:val="32"/>
          <w:u w:val="none"/>
          <w:lang w:val="en-US" w:eastAsia="zh-CN"/>
        </w:rPr>
        <w:t>6月8日，</w:t>
      </w:r>
      <w:r>
        <w:rPr>
          <w:rFonts w:hint="eastAsia" w:ascii="仿宋_GB2312" w:hAnsi="Times New Roman" w:eastAsia="仿宋_GB2312" w:cs="仿宋_GB2312"/>
          <w:color w:val="auto"/>
          <w:sz w:val="32"/>
          <w:u w:val="none"/>
          <w:lang w:val="en-US" w:eastAsia="zh-CN"/>
        </w:rPr>
        <w:t>我局收到柳州市计量技术测试研究所出具的</w:t>
      </w:r>
      <w:r>
        <w:rPr>
          <w:rFonts w:hint="eastAsia" w:ascii="仿宋_GB2312" w:hAnsi="仿宋" w:eastAsia="仿宋_GB2312" w:cs="仿宋"/>
          <w:color w:val="auto"/>
          <w:sz w:val="32"/>
          <w:szCs w:val="32"/>
          <w:u w:val="none"/>
          <w:lang w:val="en-US" w:eastAsia="zh-CN"/>
        </w:rPr>
        <w:t>证书编号为HLH26060016号的</w:t>
      </w:r>
      <w:r>
        <w:rPr>
          <w:rFonts w:hint="eastAsia" w:ascii="仿宋_GB2312" w:hAnsi="Times New Roman" w:eastAsia="仿宋_GB2312" w:cs="仿宋_GB2312"/>
          <w:color w:val="auto"/>
          <w:sz w:val="32"/>
          <w:u w:val="none"/>
          <w:lang w:val="en-US" w:eastAsia="zh-CN"/>
        </w:rPr>
        <w:t>《检定结果通知书》，检定结论为不合格。2026年6月8日我局向当事人送达了《检定结果告知书》（</w:t>
      </w:r>
      <w:r>
        <w:rPr>
          <w:rFonts w:hint="eastAsia" w:ascii="仿宋_GB2312" w:hAnsi="仿宋" w:eastAsia="仿宋_GB2312" w:cs="仿宋"/>
          <w:color w:val="auto"/>
          <w:sz w:val="32"/>
          <w:szCs w:val="32"/>
          <w:u w:val="none"/>
          <w:lang w:val="en-US" w:eastAsia="zh-CN"/>
        </w:rPr>
        <w:t>柳北市监检鉴结〔2026〕14号）</w:t>
      </w:r>
      <w:r>
        <w:rPr>
          <w:rFonts w:hint="eastAsia" w:ascii="仿宋_GB2312" w:hAnsi="Times New Roman" w:eastAsia="仿宋_GB2312" w:cs="仿宋_GB2312"/>
          <w:color w:val="auto"/>
          <w:sz w:val="32"/>
          <w:u w:val="none"/>
          <w:lang w:val="en-US" w:eastAsia="zh-CN"/>
        </w:rPr>
        <w:t>和上述《检定结果通知书》，依法对上述电子计价秤采取扣押的行政强制措施。当事人在法定期限内未提出复检申请。</w:t>
      </w:r>
      <w:r>
        <w:rPr>
          <w:rFonts w:hint="eastAsia" w:ascii="仿宋_GB2312" w:hAnsi="仿宋_GB2312" w:eastAsia="仿宋_GB2312" w:cs="仿宋_GB2312"/>
          <w:color w:val="auto"/>
          <w:sz w:val="32"/>
          <w:szCs w:val="32"/>
          <w:u w:val="none"/>
        </w:rPr>
        <w:t xml:space="preserve">  </w:t>
      </w:r>
      <w:r>
        <w:rPr>
          <w:rFonts w:hint="eastAsia" w:ascii="仿宋_GB2312" w:hAnsi="仿宋_GB2312" w:eastAsia="仿宋_GB2312" w:cs="仿宋_GB2312"/>
          <w:color w:val="auto"/>
          <w:sz w:val="32"/>
          <w:szCs w:val="32"/>
          <w:u w:val="none"/>
          <w:lang w:val="en-US" w:eastAsia="zh-CN"/>
        </w:rPr>
        <w:t xml:space="preserve"> </w:t>
      </w:r>
    </w:p>
    <w:p w14:paraId="1451E344">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eastAsia" w:ascii="仿宋_GB2312" w:hAnsi="Times New Roman" w:eastAsia="仿宋_GB2312" w:cs="仿宋_GB2312"/>
          <w:color w:val="auto"/>
          <w:sz w:val="32"/>
          <w:szCs w:val="32"/>
          <w:u w:val="none"/>
          <w:lang w:val="en-US" w:eastAsia="zh-CN"/>
        </w:rPr>
      </w:pPr>
      <w:r>
        <w:rPr>
          <w:rFonts w:hint="eastAsia" w:ascii="仿宋_GB2312" w:hAnsi="Times New Roman" w:eastAsia="仿宋_GB2312" w:cs="仿宋_GB2312"/>
          <w:color w:val="auto"/>
          <w:sz w:val="32"/>
          <w:szCs w:val="32"/>
          <w:u w:val="none"/>
          <w:lang w:val="en-US" w:eastAsia="zh-CN"/>
        </w:rPr>
        <w:t>经查实，当事人2026年5月7日被我局依法查获时，</w:t>
      </w:r>
      <w:r>
        <w:rPr>
          <w:rFonts w:hint="eastAsia" w:ascii="仿宋_GB2312" w:hAnsi="仿宋" w:eastAsia="仿宋_GB2312" w:cs="仿宋"/>
          <w:color w:val="auto"/>
          <w:sz w:val="32"/>
          <w:szCs w:val="32"/>
          <w:u w:val="none"/>
          <w:lang w:val="en-US" w:eastAsia="zh-CN"/>
        </w:rPr>
        <w:t>在柳州市胜利商贸城内海鲜市场B区7、8、9号商铺从事水产品经营活动</w:t>
      </w:r>
      <w:r>
        <w:rPr>
          <w:rFonts w:hint="eastAsia" w:ascii="仿宋_GB2312" w:hAnsi="Times New Roman" w:eastAsia="仿宋_GB2312" w:cs="仿宋_GB2312"/>
          <w:color w:val="auto"/>
          <w:sz w:val="32"/>
          <w:szCs w:val="32"/>
          <w:u w:val="none"/>
          <w:lang w:val="en-US" w:eastAsia="zh-CN"/>
        </w:rPr>
        <w:t>中用于贸易结算的一台电子计价秤，经柳州市计量技术测试研究所检定并出具证书编号为</w:t>
      </w:r>
      <w:r>
        <w:rPr>
          <w:rFonts w:hint="eastAsia" w:ascii="仿宋_GB2312" w:hAnsi="仿宋" w:eastAsia="仿宋_GB2312" w:cs="仿宋"/>
          <w:color w:val="auto"/>
          <w:sz w:val="32"/>
          <w:szCs w:val="32"/>
          <w:u w:val="none"/>
          <w:lang w:val="en-US" w:eastAsia="zh-CN"/>
        </w:rPr>
        <w:t>HLH26060016号</w:t>
      </w:r>
      <w:r>
        <w:rPr>
          <w:rFonts w:hint="eastAsia" w:ascii="仿宋_GB2312" w:hAnsi="Times New Roman" w:eastAsia="仿宋_GB2312" w:cs="仿宋_GB2312"/>
          <w:color w:val="auto"/>
          <w:sz w:val="32"/>
          <w:szCs w:val="32"/>
          <w:u w:val="none"/>
          <w:lang w:val="en-US" w:eastAsia="zh-CN"/>
        </w:rPr>
        <w:t>的《检定结果通知书》记载：“</w:t>
      </w:r>
      <w:r>
        <w:rPr>
          <w:rFonts w:hint="eastAsia" w:ascii="仿宋_GB2312" w:hAnsi="仿宋" w:eastAsia="仿宋_GB2312" w:cs="仿宋"/>
          <w:color w:val="auto"/>
          <w:sz w:val="32"/>
          <w:szCs w:val="32"/>
          <w:u w:val="none"/>
          <w:lang w:val="en-US" w:eastAsia="zh-CN"/>
        </w:rPr>
        <w:t>计量器具名称：电子计价秤，型号/规格：ACS-30，出厂编号：011889（王建军），制造单位：永康市友升衡器有限公司，检定结论：不合格。</w:t>
      </w:r>
      <w:r>
        <w:rPr>
          <w:rFonts w:hint="eastAsia" w:ascii="仿宋_GB2312" w:hAnsi="Times New Roman" w:eastAsia="仿宋_GB2312" w:cs="仿宋_GB2312"/>
          <w:color w:val="auto"/>
          <w:sz w:val="32"/>
          <w:u w:val="none"/>
          <w:lang w:val="en-US" w:eastAsia="zh-CN"/>
        </w:rPr>
        <w:t>其中</w:t>
      </w:r>
      <w:r>
        <w:rPr>
          <w:rFonts w:hint="eastAsia" w:ascii="仿宋_GB2312" w:hAnsi="仿宋" w:eastAsia="仿宋_GB2312" w:cs="仿宋"/>
          <w:color w:val="auto"/>
          <w:sz w:val="32"/>
          <w:szCs w:val="32"/>
          <w:u w:val="none"/>
          <w:lang w:val="en-US" w:eastAsia="zh-CN"/>
        </w:rPr>
        <w:t>1、</w:t>
      </w:r>
      <w:r>
        <w:rPr>
          <w:rFonts w:hint="eastAsia" w:ascii="仿宋_GB2312" w:hAnsi="Times New Roman" w:eastAsia="仿宋_GB2312" w:cs="仿宋_GB2312"/>
          <w:color w:val="auto"/>
          <w:sz w:val="32"/>
          <w:u w:val="none"/>
          <w:lang w:val="en-US" w:eastAsia="zh-CN"/>
        </w:rPr>
        <w:t>检定项目：计量单位检定结果为不合格，</w:t>
      </w:r>
      <w:r>
        <w:rPr>
          <w:rFonts w:hint="eastAsia" w:ascii="仿宋_GB2312" w:hAnsi="仿宋" w:eastAsia="仿宋_GB2312" w:cs="仿宋"/>
          <w:color w:val="auto"/>
          <w:sz w:val="32"/>
          <w:szCs w:val="32"/>
          <w:u w:val="none"/>
          <w:lang w:val="en-US" w:eastAsia="zh-CN"/>
        </w:rPr>
        <w:t>该秤的计量单位为“市斤”，为非法定计量单位；2、</w:t>
      </w:r>
      <w:r>
        <w:rPr>
          <w:rFonts w:hint="eastAsia" w:ascii="仿宋_GB2312" w:hAnsi="Times New Roman" w:eastAsia="仿宋_GB2312" w:cs="仿宋_GB2312"/>
          <w:color w:val="auto"/>
          <w:sz w:val="32"/>
          <w:u w:val="none"/>
          <w:lang w:val="en-US" w:eastAsia="zh-CN"/>
        </w:rPr>
        <w:t>检定项目：计量的安全性检定结果为不符合，</w:t>
      </w:r>
      <w:r>
        <w:rPr>
          <w:rFonts w:hint="eastAsia" w:ascii="仿宋_GB2312" w:hAnsi="仿宋" w:eastAsia="仿宋_GB2312" w:cs="仿宋"/>
          <w:color w:val="auto"/>
          <w:sz w:val="32"/>
          <w:szCs w:val="32"/>
          <w:u w:val="none"/>
          <w:lang w:val="en-US" w:eastAsia="zh-CN"/>
        </w:rPr>
        <w:t>该秤未加有铅封，且存在不破坏铅封就能对秤进行与计量性能有关的参数调整的情况；3、该秤存在欺骗性使用特征。无铅封，按键1、8、9损坏。”</w:t>
      </w:r>
      <w:r>
        <w:rPr>
          <w:rFonts w:hint="eastAsia" w:ascii="仿宋_GB2312" w:hAnsi="Times New Roman" w:eastAsia="仿宋_GB2312" w:cs="仿宋_GB2312"/>
          <w:color w:val="auto"/>
          <w:sz w:val="32"/>
          <w:szCs w:val="32"/>
          <w:u w:val="none"/>
          <w:lang w:val="en-US" w:eastAsia="zh-CN"/>
        </w:rPr>
        <w:t>因当事人在经营过程中未建立进销台账记录，故营业性收入无法计算。</w:t>
      </w:r>
    </w:p>
    <w:p w14:paraId="62C6E899">
      <w:pPr>
        <w:pStyle w:val="2"/>
        <w:keepNext w:val="0"/>
        <w:keepLines w:val="0"/>
        <w:pageBreakBefore w:val="0"/>
        <w:widowControl w:val="0"/>
        <w:kinsoku/>
        <w:wordWrap/>
        <w:overflowPunct/>
        <w:topLinePunct w:val="0"/>
        <w:bidi w:val="0"/>
        <w:snapToGrid/>
        <w:spacing w:line="560" w:lineRule="exact"/>
        <w:ind w:firstLine="640" w:firstLineChars="200"/>
        <w:rPr>
          <w:rFonts w:hint="eastAsia" w:ascii="仿宋_GB2312" w:hAnsi="仿宋_GB2312" w:eastAsia="仿宋_GB2312" w:cs="仿宋_GB2312"/>
          <w:color w:val="auto"/>
          <w:kern w:val="2"/>
          <w:sz w:val="32"/>
          <w:szCs w:val="32"/>
          <w:u w:val="none"/>
          <w:lang w:val="en-US" w:eastAsia="zh-CN" w:bidi="ar-SA"/>
        </w:rPr>
      </w:pPr>
      <w:r>
        <w:rPr>
          <w:rFonts w:hint="eastAsia" w:ascii="仿宋_GB2312" w:hAnsi="仿宋_GB2312" w:eastAsia="仿宋_GB2312" w:cs="仿宋_GB2312"/>
          <w:color w:val="auto"/>
          <w:kern w:val="2"/>
          <w:sz w:val="32"/>
          <w:szCs w:val="32"/>
          <w:u w:val="none"/>
          <w:lang w:val="en-US" w:eastAsia="zh-CN" w:bidi="ar-SA"/>
        </w:rPr>
        <w:t>上述事实，主要有以下证据证明：</w:t>
      </w:r>
    </w:p>
    <w:p w14:paraId="3E5F983B">
      <w:pPr>
        <w:keepNext w:val="0"/>
        <w:keepLines w:val="0"/>
        <w:pageBreakBefore w:val="0"/>
        <w:numPr>
          <w:ilvl w:val="0"/>
          <w:numId w:val="0"/>
        </w:numPr>
        <w:kinsoku/>
        <w:wordWrap/>
        <w:overflowPunct/>
        <w:topLinePunct w:val="0"/>
        <w:autoSpaceDE/>
        <w:autoSpaceDN/>
        <w:bidi w:val="0"/>
        <w:snapToGrid/>
        <w:spacing w:line="560" w:lineRule="exact"/>
        <w:ind w:firstLine="640" w:firstLineChars="200"/>
        <w:rPr>
          <w:rFonts w:hint="eastAsia" w:ascii="仿宋" w:hAnsi="仿宋" w:eastAsia="仿宋" w:cs="仿宋"/>
          <w:color w:val="auto"/>
          <w:sz w:val="32"/>
          <w:szCs w:val="32"/>
          <w:highlight w:val="none"/>
          <w:shd w:val="clear" w:color="auto" w:fill="auto"/>
        </w:rPr>
      </w:pPr>
      <w:r>
        <w:rPr>
          <w:rFonts w:hint="eastAsia" w:ascii="仿宋_GB2312" w:hAnsi="Times New Roman" w:eastAsia="仿宋_GB2312" w:cs="仿宋_GB2312"/>
          <w:color w:val="auto"/>
          <w:sz w:val="32"/>
          <w:highlight w:val="none"/>
          <w:u w:val="none"/>
          <w:lang w:val="en-US" w:eastAsia="zh-CN"/>
        </w:rPr>
        <w:t>1、</w:t>
      </w:r>
      <w:r>
        <w:rPr>
          <w:rFonts w:hint="eastAsia" w:ascii="仿宋_GB2312" w:hAnsi="仿宋_GB2312" w:eastAsia="仿宋_GB2312" w:cs="仿宋_GB2312"/>
          <w:bCs/>
          <w:color w:val="auto"/>
          <w:sz w:val="32"/>
          <w:szCs w:val="32"/>
          <w:highlight w:val="none"/>
        </w:rPr>
        <w:t>当</w:t>
      </w:r>
      <w:r>
        <w:rPr>
          <w:rFonts w:hint="eastAsia" w:ascii="仿宋_GB2312" w:hAnsi="仿宋_GB2312" w:eastAsia="仿宋_GB2312" w:cs="仿宋_GB2312"/>
          <w:bCs/>
          <w:color w:val="auto"/>
          <w:sz w:val="32"/>
          <w:szCs w:val="32"/>
        </w:rPr>
        <w:t>事人的</w:t>
      </w:r>
      <w:r>
        <w:rPr>
          <w:rFonts w:hint="eastAsia" w:ascii="仿宋_GB2312" w:hAnsi="仿宋_GB2312" w:eastAsia="仿宋_GB2312" w:cs="仿宋_GB2312"/>
          <w:color w:val="auto"/>
          <w:sz w:val="32"/>
          <w:szCs w:val="32"/>
        </w:rPr>
        <w:t>《营业执照》复印件1份，</w:t>
      </w:r>
      <w:r>
        <w:rPr>
          <w:rFonts w:hint="eastAsia" w:ascii="仿宋_GB2312" w:hAnsi="仿宋_GB2312" w:eastAsia="仿宋_GB2312" w:cs="仿宋_GB2312"/>
          <w:color w:val="auto"/>
          <w:sz w:val="32"/>
          <w:szCs w:val="32"/>
          <w:lang w:eastAsia="zh-CN"/>
        </w:rPr>
        <w:t>经营者</w:t>
      </w:r>
      <w:r>
        <w:rPr>
          <w:rFonts w:hint="eastAsia" w:ascii="仿宋_GB2312" w:hAnsi="仿宋_GB2312" w:eastAsia="仿宋_GB2312" w:cs="仿宋_GB2312"/>
          <w:color w:val="auto"/>
          <w:kern w:val="0"/>
          <w:sz w:val="32"/>
          <w:szCs w:val="32"/>
          <w:lang w:eastAsia="zh-CN"/>
        </w:rPr>
        <w:t>身</w:t>
      </w:r>
      <w:r>
        <w:rPr>
          <w:rFonts w:hint="eastAsia" w:ascii="仿宋_GB2312" w:hAnsi="仿宋_GB2312" w:eastAsia="仿宋_GB2312" w:cs="仿宋_GB2312"/>
          <w:color w:val="auto"/>
          <w:sz w:val="32"/>
          <w:szCs w:val="32"/>
        </w:rPr>
        <w:t>份证复印件1份</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证明当事人的主体资格和</w:t>
      </w:r>
      <w:r>
        <w:rPr>
          <w:rFonts w:hint="eastAsia" w:ascii="仿宋_GB2312" w:hAnsi="仿宋_GB2312" w:eastAsia="仿宋_GB2312" w:cs="仿宋_GB2312"/>
          <w:color w:val="auto"/>
          <w:sz w:val="32"/>
          <w:szCs w:val="32"/>
          <w:lang w:eastAsia="zh-CN"/>
        </w:rPr>
        <w:t>经营者</w:t>
      </w:r>
      <w:r>
        <w:rPr>
          <w:rFonts w:hint="eastAsia" w:ascii="仿宋_GB2312" w:hAnsi="仿宋_GB2312" w:eastAsia="仿宋_GB2312" w:cs="仿宋_GB2312"/>
          <w:color w:val="auto"/>
          <w:sz w:val="32"/>
          <w:szCs w:val="32"/>
          <w:highlight w:val="none"/>
          <w:shd w:val="clear" w:color="auto" w:fill="auto"/>
        </w:rPr>
        <w:t>的身份信息。</w:t>
      </w:r>
    </w:p>
    <w:p w14:paraId="3C517915">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eastAsia" w:ascii="仿宋_GB2312" w:hAnsi="Times New Roman" w:eastAsia="仿宋_GB2312" w:cs="仿宋_GB2312"/>
          <w:color w:val="auto"/>
          <w:sz w:val="32"/>
          <w:u w:val="none"/>
          <w:lang w:val="en-US" w:eastAsia="zh-CN"/>
        </w:rPr>
      </w:pPr>
      <w:r>
        <w:rPr>
          <w:rFonts w:hint="eastAsia" w:ascii="仿宋_GB2312" w:hAnsi="Times New Roman" w:eastAsia="仿宋_GB2312" w:cs="仿宋_GB2312"/>
          <w:color w:val="auto"/>
          <w:sz w:val="32"/>
          <w:u w:val="none"/>
          <w:lang w:val="en-US" w:eastAsia="zh-CN"/>
        </w:rPr>
        <w:t>2、2026年5月7日我局执法人员对当事人进行现场检查制作的《现场笔录》1份，《计量器具抽样登记表》（编号：柳北计量抽〔2026〕第I050701号）1份，证据提取单</w:t>
      </w:r>
      <w:r>
        <w:rPr>
          <w:rFonts w:hint="eastAsia" w:ascii="仿宋_GB2312" w:hAnsi="Times New Roman" w:eastAsia="仿宋_GB2312" w:cs="仿宋_GB2312"/>
          <w:color w:val="auto"/>
          <w:sz w:val="32"/>
          <w:highlight w:val="none"/>
          <w:u w:val="none"/>
          <w:lang w:val="en-US" w:eastAsia="zh-CN"/>
        </w:rPr>
        <w:t>3份</w:t>
      </w:r>
      <w:r>
        <w:rPr>
          <w:rFonts w:hint="eastAsia" w:ascii="仿宋_GB2312" w:hAnsi="Times New Roman" w:eastAsia="仿宋_GB2312" w:cs="仿宋_GB2312"/>
          <w:color w:val="auto"/>
          <w:sz w:val="32"/>
          <w:u w:val="none"/>
          <w:lang w:val="en-US" w:eastAsia="zh-CN"/>
        </w:rPr>
        <w:t>，证明我局对当事人的检查及抽样情况；</w:t>
      </w:r>
    </w:p>
    <w:p w14:paraId="089D9E42">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default" w:ascii="仿宋_GB2312" w:hAnsi="Times New Roman" w:eastAsia="仿宋_GB2312" w:cs="仿宋_GB2312"/>
          <w:color w:val="auto"/>
          <w:sz w:val="32"/>
          <w:highlight w:val="yellow"/>
          <w:u w:val="none"/>
          <w:lang w:val="en-US" w:eastAsia="zh-CN"/>
        </w:rPr>
      </w:pPr>
      <w:r>
        <w:rPr>
          <w:rFonts w:hint="eastAsia" w:ascii="仿宋_GB2312" w:hAnsi="Times New Roman" w:eastAsia="仿宋_GB2312" w:cs="仿宋_GB2312"/>
          <w:color w:val="auto"/>
          <w:sz w:val="32"/>
          <w:u w:val="none"/>
          <w:lang w:val="en-US" w:eastAsia="zh-CN"/>
        </w:rPr>
        <w:t>3、《检定委托书》（柳北市监检鉴委〔2026〕14号）1份，</w:t>
      </w:r>
      <w:r>
        <w:rPr>
          <w:rFonts w:hint="eastAsia" w:ascii="仿宋_GB2312" w:hAnsi="仿宋_GB2312" w:eastAsia="仿宋_GB2312" w:cs="仿宋_GB2312"/>
          <w:color w:val="auto"/>
          <w:sz w:val="32"/>
          <w:szCs w:val="32"/>
          <w:highlight w:val="none"/>
          <w:lang w:val="en-US" w:eastAsia="zh-CN"/>
        </w:rPr>
        <w:t>柳州市计量技术测试研究所资质证书复印件1份，</w:t>
      </w:r>
      <w:r>
        <w:rPr>
          <w:rFonts w:hint="eastAsia" w:ascii="仿宋_GB2312" w:hAnsi="Times New Roman" w:eastAsia="仿宋_GB2312" w:cs="仿宋_GB2312"/>
          <w:color w:val="auto"/>
          <w:sz w:val="32"/>
          <w:u w:val="none"/>
          <w:lang w:val="en-US" w:eastAsia="zh-CN"/>
        </w:rPr>
        <w:t>证明我局依法委托柳州市计量技术测试研究所对当事人</w:t>
      </w:r>
      <w:r>
        <w:rPr>
          <w:rFonts w:hint="eastAsia" w:ascii="仿宋_GB2312" w:hAnsi="仿宋_GB2312" w:eastAsia="仿宋_GB2312" w:cs="仿宋_GB2312"/>
          <w:color w:val="auto"/>
          <w:sz w:val="32"/>
          <w:szCs w:val="32"/>
          <w:lang w:val="en-US" w:eastAsia="zh-CN"/>
        </w:rPr>
        <w:t>用于贸易结算</w:t>
      </w:r>
      <w:r>
        <w:rPr>
          <w:rFonts w:hint="eastAsia" w:ascii="仿宋_GB2312" w:hAnsi="Times New Roman" w:eastAsia="仿宋_GB2312" w:cs="仿宋_GB2312"/>
          <w:color w:val="auto"/>
          <w:sz w:val="32"/>
          <w:u w:val="none"/>
          <w:lang w:val="en-US" w:eastAsia="zh-CN"/>
        </w:rPr>
        <w:t>的上述的电子计价秤进行检定</w:t>
      </w:r>
      <w:r>
        <w:rPr>
          <w:rFonts w:hint="eastAsia" w:ascii="仿宋_GB2312" w:hAnsi="仿宋_GB2312" w:eastAsia="仿宋_GB2312" w:cs="仿宋_GB2312"/>
          <w:color w:val="auto"/>
          <w:sz w:val="32"/>
          <w:szCs w:val="32"/>
          <w:highlight w:val="none"/>
          <w:lang w:val="en-US" w:eastAsia="zh-CN"/>
        </w:rPr>
        <w:t>及柳州市计量技术测试研究所具有检定电子计价秤的资格。</w:t>
      </w:r>
    </w:p>
    <w:p w14:paraId="6D9EDDF0">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eastAsia" w:ascii="仿宋_GB2312" w:hAnsi="Times New Roman" w:eastAsia="仿宋_GB2312" w:cs="仿宋_GB2312"/>
          <w:color w:val="auto"/>
          <w:sz w:val="32"/>
          <w:u w:val="none"/>
          <w:lang w:val="en-US" w:eastAsia="zh-CN"/>
        </w:rPr>
      </w:pPr>
      <w:r>
        <w:rPr>
          <w:rFonts w:hint="eastAsia" w:ascii="仿宋_GB2312" w:hAnsi="Times New Roman" w:eastAsia="仿宋_GB2312" w:cs="仿宋_GB2312"/>
          <w:color w:val="auto"/>
          <w:sz w:val="32"/>
          <w:u w:val="none"/>
          <w:lang w:val="en-US" w:eastAsia="zh-CN"/>
        </w:rPr>
        <w:t>4、《检定结果告知书》（柳北市监检鉴结〔2026〕14号）和《检定结果通知书》（证书编号：HLH26060016号）各1份，证明涉案的电子计价秤检定结论为不合格；</w:t>
      </w:r>
    </w:p>
    <w:p w14:paraId="03C5719C">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eastAsia" w:ascii="仿宋_GB2312" w:hAnsi="Times New Roman" w:eastAsia="仿宋_GB2312" w:cs="仿宋_GB2312"/>
          <w:color w:val="auto"/>
          <w:sz w:val="32"/>
          <w:u w:val="none"/>
          <w:lang w:val="en-US" w:eastAsia="zh-CN"/>
        </w:rPr>
      </w:pPr>
      <w:r>
        <w:rPr>
          <w:rFonts w:hint="eastAsia" w:ascii="仿宋_GB2312" w:hAnsi="Times New Roman" w:eastAsia="仿宋_GB2312" w:cs="仿宋_GB2312"/>
          <w:color w:val="auto"/>
          <w:sz w:val="32"/>
          <w:u w:val="none"/>
          <w:lang w:val="en-US" w:eastAsia="zh-CN"/>
        </w:rPr>
        <w:t>5、2026年6月8日制作的《现场笔录》1份，《实施行政强制措施决定书》（柳北市监强制〔2026〕35号）1份，《财物清单》1份，证据提取单1份，证明我局对当事人在经营中使用的上述不合格的电子计价秤采取扣押行政强制措施；</w:t>
      </w:r>
    </w:p>
    <w:p w14:paraId="5680BC09">
      <w:pPr>
        <w:keepNext w:val="0"/>
        <w:keepLines w:val="0"/>
        <w:pageBreakBefore w:val="0"/>
        <w:widowControl w:val="0"/>
        <w:numPr>
          <w:ilvl w:val="0"/>
          <w:numId w:val="3"/>
        </w:numPr>
        <w:kinsoku/>
        <w:wordWrap/>
        <w:overflowPunct/>
        <w:topLinePunct w:val="0"/>
        <w:autoSpaceDE/>
        <w:autoSpaceDN/>
        <w:bidi w:val="0"/>
        <w:adjustRightInd/>
        <w:snapToGrid/>
        <w:spacing w:line="520" w:lineRule="exact"/>
        <w:ind w:left="0" w:leftChars="0" w:firstLine="640" w:firstLineChars="200"/>
        <w:textAlignment w:val="auto"/>
        <w:rPr>
          <w:rFonts w:hint="eastAsia" w:ascii="仿宋_GB2312" w:hAnsi="Times New Roman" w:eastAsia="仿宋_GB2312" w:cs="仿宋_GB2312"/>
          <w:color w:val="auto"/>
          <w:sz w:val="32"/>
          <w:u w:val="none"/>
          <w:lang w:val="en-US" w:eastAsia="zh-CN"/>
        </w:rPr>
      </w:pPr>
      <w:r>
        <w:rPr>
          <w:rFonts w:hint="eastAsia" w:ascii="仿宋_GB2312" w:hAnsi="Times New Roman" w:eastAsia="仿宋_GB2312" w:cs="仿宋_GB2312"/>
          <w:color w:val="auto"/>
          <w:sz w:val="32"/>
          <w:u w:val="none"/>
          <w:lang w:val="en-US" w:eastAsia="zh-CN"/>
        </w:rPr>
        <w:t>《询问笔录》1份，证明当事人存在使用上述检定不合格的电子计价秤的事实。</w:t>
      </w:r>
    </w:p>
    <w:p w14:paraId="7E68F84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u w:val="none"/>
          <w:lang w:val="en-US" w:eastAsia="zh-CN"/>
        </w:rPr>
        <w:t>以上证据均由经营者签名确认。</w:t>
      </w:r>
      <w:r>
        <w:rPr>
          <w:rFonts w:hint="eastAsia" w:ascii="仿宋_GB2312" w:hAnsi="仿宋_GB2312" w:eastAsia="仿宋_GB2312" w:cs="仿宋_GB2312"/>
          <w:color w:val="auto"/>
          <w:sz w:val="32"/>
          <w:szCs w:val="32"/>
          <w:u w:val="none"/>
          <w:lang w:val="en-US" w:eastAsia="zh-CN"/>
        </w:rPr>
        <w:t xml:space="preserve">    </w:t>
      </w:r>
    </w:p>
    <w:p w14:paraId="2B86FAA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2026年8月24日我局向当事人送达了《行政处罚告知书》（柳北市监罚告〔2026〕90号），告知当事人我局拟作出行政处罚的事实、理由、依据、处罚内容及享有的权利。当事人在法定期限内未提出陈述、申辩。</w:t>
      </w:r>
    </w:p>
    <w:p w14:paraId="6AD1797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u w:val="none"/>
          <w:lang w:val="en-US" w:eastAsia="zh-CN"/>
        </w:rPr>
      </w:pPr>
      <w:r>
        <w:rPr>
          <w:rFonts w:hint="eastAsia" w:ascii="仿宋_GB2312" w:hAnsi="仿宋_GB2312" w:eastAsia="仿宋_GB2312" w:cs="仿宋_GB2312"/>
          <w:color w:val="auto"/>
          <w:sz w:val="32"/>
          <w:u w:val="none"/>
          <w:lang w:val="en-US" w:eastAsia="zh-CN"/>
        </w:rPr>
        <w:t>当事人上述行为，违反了《中华人民共和国计量法实施细则》第二十二条</w:t>
      </w:r>
      <w:bookmarkStart w:id="3" w:name="tiao_22_kuan_1"/>
      <w:bookmarkEnd w:id="3"/>
      <w:r>
        <w:rPr>
          <w:rFonts w:hint="eastAsia" w:ascii="仿宋_GB2312" w:hAnsi="仿宋_GB2312" w:eastAsia="仿宋_GB2312" w:cs="仿宋_GB2312"/>
          <w:color w:val="auto"/>
          <w:sz w:val="32"/>
          <w:u w:val="none"/>
          <w:lang w:val="en-US" w:eastAsia="zh-CN"/>
        </w:rPr>
        <w:t>“任何单位和个人不准在工作岗位上使用无检定合格印、证或者超过检定周期以及经检定不合格的计量器具。在教学示范中使用计量器具不受此限。”的规定，属于使用不合格的计量器具的行为，违法所得无法计算。</w:t>
      </w:r>
    </w:p>
    <w:p w14:paraId="5B090831">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color w:val="auto"/>
          <w:sz w:val="32"/>
          <w:u w:val="none"/>
          <w:lang w:val="en-US" w:eastAsia="zh-CN"/>
        </w:rPr>
      </w:pPr>
      <w:r>
        <w:rPr>
          <w:rFonts w:hint="eastAsia" w:ascii="仿宋_GB2312" w:hAnsi="仿宋_GB2312" w:eastAsia="仿宋_GB2312" w:cs="仿宋_GB2312"/>
          <w:color w:val="auto"/>
          <w:sz w:val="32"/>
          <w:u w:val="none"/>
          <w:lang w:val="en-US" w:eastAsia="zh-CN"/>
        </w:rPr>
        <w:t>依据《中华人民共和国计量法实施细则》第四十六条</w:t>
      </w:r>
      <w:bookmarkStart w:id="4" w:name="tiao_46_kuan_1"/>
      <w:bookmarkEnd w:id="4"/>
      <w:r>
        <w:rPr>
          <w:rFonts w:hint="eastAsia" w:ascii="仿宋_GB2312" w:hAnsi="仿宋_GB2312" w:eastAsia="仿宋_GB2312" w:cs="仿宋_GB2312"/>
          <w:color w:val="auto"/>
          <w:sz w:val="32"/>
          <w:u w:val="none"/>
          <w:lang w:val="en-US" w:eastAsia="zh-CN"/>
        </w:rPr>
        <w:t>“使用不合格计量器具或者破坏计量器具准确度和伪造数据，给国家和消费者造成损失的，责令其赔偿损失，没收计量器具和全部违法所得，可并处2000元以下的罚款。”、《中华人民共和国行政处罚法》第二十八条第一款“行政机关实施行政处罚时，应当责令当事人改正或者限期改正违法行为。”的规定，我局决定责令当事人立即改正上述违法行为，并作如下行政处罚：</w:t>
      </w:r>
    </w:p>
    <w:p w14:paraId="308A75CC">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color w:val="auto"/>
          <w:sz w:val="32"/>
          <w:u w:val="none"/>
          <w:lang w:val="en-US" w:eastAsia="zh-CN"/>
        </w:rPr>
      </w:pPr>
      <w:r>
        <w:rPr>
          <w:rFonts w:hint="eastAsia" w:ascii="仿宋_GB2312" w:hAnsi="仿宋_GB2312" w:eastAsia="仿宋_GB2312" w:cs="仿宋_GB2312"/>
          <w:color w:val="auto"/>
          <w:sz w:val="32"/>
          <w:u w:val="none"/>
          <w:lang w:val="en-US" w:eastAsia="zh-CN"/>
        </w:rPr>
        <w:t>1.没收上述检定不合格电子计价秤（出厂编号：011889</w:t>
      </w:r>
      <w:r>
        <w:rPr>
          <w:rFonts w:hint="eastAsia" w:ascii="仿宋_GB2312" w:hAnsi="仿宋_GB2312" w:eastAsia="仿宋_GB2312" w:cs="仿宋_GB2312"/>
          <w:color w:val="auto"/>
          <w:sz w:val="32"/>
          <w:szCs w:val="32"/>
          <w:u w:val="none"/>
          <w:lang w:val="en-US" w:eastAsia="zh-CN"/>
        </w:rPr>
        <w:t>，永康市友升衡器有限公司</w:t>
      </w:r>
      <w:r>
        <w:rPr>
          <w:rFonts w:hint="eastAsia" w:ascii="仿宋_GB2312" w:hAnsi="仿宋_GB2312" w:eastAsia="仿宋_GB2312" w:cs="仿宋_GB2312"/>
          <w:color w:val="auto"/>
          <w:sz w:val="32"/>
          <w:u w:val="none"/>
          <w:lang w:val="en-US" w:eastAsia="zh-CN"/>
        </w:rPr>
        <w:t>）1台；</w:t>
      </w:r>
    </w:p>
    <w:p w14:paraId="526F1689">
      <w:pPr>
        <w:spacing w:line="520" w:lineRule="exact"/>
        <w:ind w:firstLine="640"/>
        <w:rPr>
          <w:rFonts w:hint="eastAsia" w:ascii="仿宋_GB2312" w:hAnsi="仿宋_GB2312" w:eastAsia="仿宋_GB2312" w:cs="仿宋_GB2312"/>
          <w:color w:val="auto"/>
          <w:sz w:val="32"/>
          <w:u w:val="none"/>
          <w:lang w:val="en-US" w:eastAsia="zh-CN"/>
        </w:rPr>
      </w:pPr>
      <w:r>
        <w:rPr>
          <w:rFonts w:hint="eastAsia" w:ascii="仿宋_GB2312" w:hAnsi="仿宋_GB2312" w:eastAsia="仿宋_GB2312" w:cs="仿宋_GB2312"/>
          <w:color w:val="auto"/>
          <w:sz w:val="32"/>
          <w:u w:val="none"/>
          <w:lang w:val="en-US" w:eastAsia="zh-CN"/>
        </w:rPr>
        <w:t>2.罚款人民币壹仟元整（¥1000.00）。</w:t>
      </w:r>
    </w:p>
    <w:p w14:paraId="237C576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u w:val="none"/>
        </w:rPr>
        <w:t>当事人应当自收到本行政处罚决定书之日起十五日内，凭《广西壮族自治区非税收入电子缴款通知书》到中国建设银行</w:t>
      </w:r>
      <w:r>
        <w:rPr>
          <w:rFonts w:hint="eastAsia" w:ascii="仿宋_GB2312" w:hAnsi="仿宋_GB2312" w:eastAsia="仿宋_GB2312" w:cs="仿宋_GB2312"/>
          <w:color w:val="auto"/>
          <w:sz w:val="32"/>
          <w:szCs w:val="32"/>
          <w:u w:val="none"/>
          <w:lang w:eastAsia="zh-CN"/>
        </w:rPr>
        <w:t>或柳州银行</w:t>
      </w:r>
      <w:r>
        <w:rPr>
          <w:rFonts w:hint="eastAsia" w:ascii="仿宋_GB2312" w:hAnsi="仿宋_GB2312" w:eastAsia="仿宋_GB2312" w:cs="仿宋_GB2312"/>
          <w:color w:val="auto"/>
          <w:sz w:val="32"/>
          <w:szCs w:val="32"/>
          <w:u w:val="none"/>
        </w:rPr>
        <w:t>缴纳罚款</w:t>
      </w:r>
      <w:r>
        <w:rPr>
          <w:rFonts w:hint="eastAsia" w:ascii="仿宋_GB2312" w:hAnsi="Times New Roman" w:eastAsia="仿宋_GB2312" w:cs="Times New Roman"/>
          <w:color w:val="auto"/>
          <w:sz w:val="32"/>
          <w:szCs w:val="32"/>
          <w:highlight w:val="none"/>
          <w:u w:val="none"/>
          <w:lang w:val="en-US" w:eastAsia="zh-CN"/>
        </w:rPr>
        <w:t>（附言备注20位缴款通知书编号）</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eastAsia="zh-CN"/>
        </w:rPr>
        <w:t>逾</w:t>
      </w:r>
      <w:r>
        <w:rPr>
          <w:rFonts w:hint="eastAsia" w:ascii="仿宋_GB2312" w:hAnsi="仿宋_GB2312" w:eastAsia="仿宋_GB2312" w:cs="仿宋_GB2312"/>
          <w:color w:val="auto"/>
          <w:sz w:val="32"/>
          <w:szCs w:val="32"/>
          <w:u w:val="none"/>
        </w:rPr>
        <w:t>期不缴纳罚款的，依据《中华人民共和国行政处罚法》</w:t>
      </w:r>
      <w:r>
        <w:rPr>
          <w:rFonts w:hint="eastAsia" w:ascii="仿宋_GB2312" w:hAnsi="仿宋_GB2312" w:eastAsia="仿宋_GB2312" w:cs="仿宋_GB2312"/>
          <w:color w:val="auto"/>
          <w:kern w:val="0"/>
          <w:sz w:val="32"/>
          <w:szCs w:val="32"/>
          <w:u w:val="none"/>
          <w:lang w:val="en-US" w:eastAsia="zh-CN" w:bidi="ar"/>
        </w:rPr>
        <w:t>第七十二条</w:t>
      </w:r>
      <w:r>
        <w:rPr>
          <w:rFonts w:hint="eastAsia" w:ascii="仿宋_GB2312" w:hAnsi="仿宋_GB2312" w:eastAsia="仿宋_GB2312" w:cs="仿宋_GB2312"/>
          <w:color w:val="auto"/>
          <w:sz w:val="32"/>
          <w:szCs w:val="32"/>
          <w:u w:val="none"/>
        </w:rPr>
        <w:t>的规定，我局将每日按罚款数额的百分之三加处罚款，并依法申请人民法院强制执行。</w:t>
      </w:r>
    </w:p>
    <w:p w14:paraId="3C6CCDA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当事人如不服本行政处罚决定，可以在接到本行政处罚决定书之日起六十日内</w:t>
      </w:r>
      <w:r>
        <w:rPr>
          <w:rFonts w:hint="eastAsia" w:ascii="仿宋_GB2312" w:hAnsi="仿宋_GB2312" w:eastAsia="仿宋_GB2312" w:cs="仿宋_GB2312"/>
          <w:color w:val="auto"/>
          <w:sz w:val="32"/>
          <w:szCs w:val="32"/>
          <w:u w:val="none"/>
          <w:lang w:eastAsia="zh-CN"/>
        </w:rPr>
        <w:t>向</w:t>
      </w:r>
      <w:r>
        <w:rPr>
          <w:rFonts w:hint="eastAsia" w:ascii="仿宋_GB2312" w:hAnsi="仿宋_GB2312" w:eastAsia="仿宋_GB2312" w:cs="仿宋_GB2312"/>
          <w:color w:val="auto"/>
          <w:sz w:val="32"/>
          <w:szCs w:val="32"/>
          <w:u w:val="none"/>
        </w:rPr>
        <w:t>柳州市柳北区人民政府申请行政复议；也可以在</w:t>
      </w:r>
      <w:r>
        <w:rPr>
          <w:rFonts w:hint="eastAsia" w:ascii="仿宋_GB2312" w:hAnsi="仿宋_GB2312" w:eastAsia="仿宋_GB2312" w:cs="仿宋_GB2312"/>
          <w:color w:val="auto"/>
          <w:sz w:val="32"/>
          <w:szCs w:val="32"/>
          <w:u w:val="none"/>
          <w:lang w:eastAsia="zh-CN"/>
        </w:rPr>
        <w:t>十五日</w:t>
      </w:r>
      <w:r>
        <w:rPr>
          <w:rFonts w:hint="eastAsia" w:ascii="仿宋_GB2312" w:hAnsi="仿宋_GB2312" w:eastAsia="仿宋_GB2312" w:cs="仿宋_GB2312"/>
          <w:color w:val="auto"/>
          <w:sz w:val="32"/>
          <w:szCs w:val="32"/>
          <w:u w:val="none"/>
        </w:rPr>
        <w:t>内依法向柳州市柳</w:t>
      </w:r>
      <w:r>
        <w:rPr>
          <w:rFonts w:hint="eastAsia" w:ascii="仿宋_GB2312" w:hAnsi="仿宋_GB2312" w:eastAsia="仿宋_GB2312" w:cs="仿宋_GB2312"/>
          <w:color w:val="auto"/>
          <w:sz w:val="32"/>
          <w:szCs w:val="32"/>
          <w:u w:val="none"/>
          <w:lang w:eastAsia="zh-CN"/>
        </w:rPr>
        <w:t>南</w:t>
      </w:r>
      <w:r>
        <w:rPr>
          <w:rFonts w:hint="eastAsia" w:ascii="仿宋_GB2312" w:hAnsi="仿宋_GB2312" w:eastAsia="仿宋_GB2312" w:cs="仿宋_GB2312"/>
          <w:color w:val="auto"/>
          <w:sz w:val="32"/>
          <w:szCs w:val="32"/>
          <w:u w:val="none"/>
        </w:rPr>
        <w:t>区人民法院提起行政诉讼。申请行政复议或者提起行政诉讼期间，行政处罚不停止执行。</w:t>
      </w:r>
    </w:p>
    <w:p w14:paraId="4019109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u w:val="none"/>
        </w:rPr>
      </w:pPr>
    </w:p>
    <w:p w14:paraId="4BF3E15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right"/>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Cs/>
          <w:color w:val="auto"/>
          <w:sz w:val="32"/>
          <w:szCs w:val="32"/>
          <w:u w:val="none"/>
        </w:rPr>
        <w:t xml:space="preserve"> </w:t>
      </w:r>
      <w:r>
        <w:rPr>
          <w:rFonts w:hint="eastAsia" w:ascii="仿宋_GB2312" w:hAnsi="仿宋_GB2312" w:eastAsia="仿宋_GB2312" w:cs="仿宋_GB2312"/>
          <w:color w:val="auto"/>
          <w:sz w:val="32"/>
          <w:szCs w:val="32"/>
          <w:u w:val="none"/>
        </w:rPr>
        <w:t xml:space="preserve">                        </w:t>
      </w:r>
    </w:p>
    <w:p w14:paraId="583C2F7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right"/>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u w:val="none"/>
        </w:rPr>
        <w:t>柳州市</w:t>
      </w:r>
      <w:r>
        <w:rPr>
          <w:rFonts w:hint="eastAsia" w:ascii="仿宋_GB2312" w:hAnsi="仿宋_GB2312" w:eastAsia="仿宋_GB2312" w:cs="仿宋_GB2312"/>
          <w:color w:val="auto"/>
          <w:sz w:val="32"/>
          <w:szCs w:val="32"/>
          <w:u w:val="none"/>
          <w:lang w:eastAsia="zh-CN"/>
        </w:rPr>
        <w:t>柳北</w:t>
      </w:r>
      <w:r>
        <w:rPr>
          <w:rFonts w:hint="eastAsia" w:ascii="仿宋_GB2312" w:hAnsi="仿宋_GB2312" w:eastAsia="仿宋_GB2312" w:cs="仿宋_GB2312"/>
          <w:color w:val="auto"/>
          <w:sz w:val="32"/>
          <w:szCs w:val="32"/>
          <w:u w:val="none"/>
        </w:rPr>
        <w:t xml:space="preserve">区市场监督管理局          </w:t>
      </w:r>
    </w:p>
    <w:p w14:paraId="0F9DF0B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lang w:val="en-US" w:eastAsia="zh-CN"/>
        </w:rPr>
        <w:t xml:space="preserve">                           2026</w:t>
      </w:r>
      <w:r>
        <w:rPr>
          <w:rFonts w:hint="eastAsia" w:ascii="仿宋_GB2312" w:hAnsi="仿宋_GB2312" w:eastAsia="仿宋_GB2312" w:cs="仿宋_GB2312"/>
          <w:color w:val="auto"/>
          <w:sz w:val="32"/>
          <w:szCs w:val="32"/>
          <w:u w:val="none"/>
        </w:rPr>
        <w:t>年</w:t>
      </w:r>
      <w:r>
        <w:rPr>
          <w:rFonts w:hint="eastAsia" w:ascii="仿宋_GB2312" w:hAnsi="仿宋_GB2312" w:eastAsia="仿宋_GB2312" w:cs="仿宋_GB2312"/>
          <w:color w:val="auto"/>
          <w:sz w:val="32"/>
          <w:szCs w:val="32"/>
          <w:u w:val="none"/>
          <w:lang w:val="en-US" w:eastAsia="zh-CN"/>
        </w:rPr>
        <w:t>9</w:t>
      </w:r>
      <w:r>
        <w:rPr>
          <w:rFonts w:hint="eastAsia" w:ascii="仿宋_GB2312" w:hAnsi="仿宋_GB2312" w:eastAsia="仿宋_GB2312" w:cs="仿宋_GB2312"/>
          <w:color w:val="auto"/>
          <w:sz w:val="32"/>
          <w:szCs w:val="32"/>
          <w:u w:val="none"/>
        </w:rPr>
        <w:t>月</w:t>
      </w:r>
      <w:r>
        <w:rPr>
          <w:rFonts w:hint="eastAsia" w:ascii="仿宋_GB2312" w:hAnsi="仿宋_GB2312" w:eastAsia="仿宋_GB2312" w:cs="仿宋_GB2312"/>
          <w:color w:val="auto"/>
          <w:sz w:val="32"/>
          <w:szCs w:val="32"/>
          <w:u w:val="none"/>
          <w:lang w:val="en-US" w:eastAsia="zh-CN"/>
        </w:rPr>
        <w:t>2</w:t>
      </w:r>
      <w:bookmarkStart w:id="5" w:name="_GoBack"/>
      <w:bookmarkEnd w:id="5"/>
      <w:r>
        <w:rPr>
          <w:rFonts w:hint="eastAsia" w:ascii="仿宋_GB2312" w:hAnsi="仿宋_GB2312" w:eastAsia="仿宋_GB2312" w:cs="仿宋_GB2312"/>
          <w:color w:val="auto"/>
          <w:sz w:val="32"/>
          <w:szCs w:val="32"/>
          <w:u w:val="none"/>
        </w:rPr>
        <w:t xml:space="preserve">日  </w:t>
      </w:r>
    </w:p>
    <w:p w14:paraId="296278A3">
      <w:pPr>
        <w:pStyle w:val="2"/>
        <w:keepNext w:val="0"/>
        <w:keepLines w:val="0"/>
        <w:pageBreakBefore w:val="0"/>
        <w:widowControl w:val="0"/>
        <w:kinsoku/>
        <w:wordWrap/>
        <w:overflowPunct/>
        <w:topLinePunct w:val="0"/>
        <w:bidi w:val="0"/>
        <w:snapToGrid/>
        <w:spacing w:line="560" w:lineRule="exact"/>
        <w:rPr>
          <w:rFonts w:hint="eastAsia" w:ascii="仿宋_GB2312" w:hAnsi="仿宋_GB2312" w:eastAsia="仿宋_GB2312" w:cs="仿宋_GB2312"/>
          <w:color w:val="auto"/>
          <w:sz w:val="32"/>
          <w:szCs w:val="32"/>
          <w:u w:val="none"/>
        </w:rPr>
      </w:pPr>
    </w:p>
    <w:p w14:paraId="6A780AF9">
      <w:pPr>
        <w:pStyle w:val="2"/>
        <w:keepNext w:val="0"/>
        <w:keepLines w:val="0"/>
        <w:pageBreakBefore w:val="0"/>
        <w:widowControl w:val="0"/>
        <w:kinsoku/>
        <w:wordWrap/>
        <w:overflowPunct/>
        <w:topLinePunct w:val="0"/>
        <w:bidi w:val="0"/>
        <w:snapToGrid/>
        <w:spacing w:line="560" w:lineRule="exact"/>
        <w:rPr>
          <w:rFonts w:hint="eastAsia" w:ascii="仿宋_GB2312" w:hAnsi="仿宋_GB2312" w:eastAsia="仿宋_GB2312" w:cs="仿宋_GB2312"/>
          <w:color w:val="auto"/>
          <w:sz w:val="32"/>
          <w:szCs w:val="32"/>
          <w:u w:val="none"/>
        </w:rPr>
      </w:pPr>
    </w:p>
    <w:p w14:paraId="49EEF179">
      <w:pPr>
        <w:pStyle w:val="2"/>
        <w:keepNext w:val="0"/>
        <w:keepLines w:val="0"/>
        <w:pageBreakBefore w:val="0"/>
        <w:widowControl w:val="0"/>
        <w:kinsoku/>
        <w:wordWrap/>
        <w:overflowPunct/>
        <w:topLinePunct w:val="0"/>
        <w:bidi w:val="0"/>
        <w:snapToGrid/>
        <w:spacing w:line="560" w:lineRule="exact"/>
        <w:rPr>
          <w:rFonts w:hint="eastAsia" w:ascii="仿宋_GB2312" w:hAnsi="仿宋_GB2312" w:eastAsia="仿宋_GB2312" w:cs="仿宋_GB2312"/>
          <w:color w:val="auto"/>
          <w:sz w:val="32"/>
          <w:szCs w:val="32"/>
          <w:u w:val="none"/>
        </w:rPr>
      </w:pPr>
    </w:p>
    <w:p w14:paraId="0228E94B">
      <w:pPr>
        <w:pStyle w:val="2"/>
        <w:keepNext w:val="0"/>
        <w:keepLines w:val="0"/>
        <w:pageBreakBefore w:val="0"/>
        <w:widowControl w:val="0"/>
        <w:kinsoku/>
        <w:wordWrap/>
        <w:overflowPunct/>
        <w:topLinePunct w:val="0"/>
        <w:bidi w:val="0"/>
        <w:snapToGrid/>
        <w:spacing w:line="560" w:lineRule="exact"/>
        <w:rPr>
          <w:rFonts w:hint="eastAsia" w:ascii="仿宋_GB2312" w:hAnsi="仿宋_GB2312" w:eastAsia="仿宋_GB2312" w:cs="仿宋_GB2312"/>
          <w:color w:val="auto"/>
          <w:sz w:val="32"/>
          <w:szCs w:val="32"/>
          <w:u w:val="none"/>
        </w:rPr>
      </w:pPr>
    </w:p>
    <w:p w14:paraId="49222080">
      <w:pPr>
        <w:keepNext w:val="0"/>
        <w:keepLines w:val="0"/>
        <w:pageBreakBefore w:val="0"/>
        <w:widowControl w:val="0"/>
        <w:kinsoku/>
        <w:wordWrap/>
        <w:overflowPunct/>
        <w:topLinePunct w:val="0"/>
        <w:autoSpaceDE/>
        <w:autoSpaceDN/>
        <w:bidi w:val="0"/>
        <w:adjustRightInd/>
        <w:snapToGrid/>
        <w:spacing w:line="560" w:lineRule="exact"/>
        <w:ind w:left="0" w:leftChars="0" w:right="-105" w:rightChars="-50"/>
        <w:jc w:val="both"/>
        <w:textAlignment w:val="auto"/>
        <w:outlineLvl w:val="9"/>
        <w:rPr>
          <w:rFonts w:hint="eastAsia" w:ascii="仿宋_GB2312" w:hAnsi="仿宋_GB2312" w:eastAsia="仿宋_GB2312" w:cs="仿宋_GB2312"/>
          <w:color w:val="auto"/>
          <w:sz w:val="32"/>
          <w:szCs w:val="32"/>
          <w:lang w:eastAsia="zh-CN"/>
        </w:rPr>
      </w:pPr>
      <w:r>
        <w:rPr>
          <w:rFonts w:hint="eastAsia" w:ascii="黑体" w:hAnsi="黑体" w:eastAsia="黑体" w:cs="黑体"/>
          <w:b w:val="0"/>
          <w:bCs w:val="0"/>
          <w:color w:val="auto"/>
          <w:w w:val="98"/>
          <w:sz w:val="32"/>
          <w:szCs w:val="32"/>
          <w:u w:val="none"/>
          <w:lang w:eastAsia="zh-CN"/>
        </w:rPr>
        <w:t>（市场监督管理部门将依法向社会公开行政处罚决定信息）</w:t>
      </w:r>
    </w:p>
    <w:p w14:paraId="41FCFF5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color w:val="auto"/>
        </w:rPr>
      </w:pPr>
      <w:r>
        <w:rPr>
          <w:color w:val="auto"/>
          <w:sz w:val="32"/>
          <w:u w:val="none"/>
        </w:rPr>
        <mc:AlternateContent>
          <mc:Choice Requires="wps">
            <w:drawing>
              <wp:anchor distT="0" distB="0" distL="114300" distR="114300" simplePos="0" relativeHeight="251659264" behindDoc="0" locked="0" layoutInCell="1" allowOverlap="1">
                <wp:simplePos x="0" y="0"/>
                <wp:positionH relativeFrom="column">
                  <wp:posOffset>13970</wp:posOffset>
                </wp:positionH>
                <wp:positionV relativeFrom="paragraph">
                  <wp:posOffset>75565</wp:posOffset>
                </wp:positionV>
                <wp:extent cx="5505450"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5505450" cy="63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1pt;margin-top:5.95pt;height:0.05pt;width:433.5pt;z-index:251659264;mso-width-relative:page;mso-height-relative:page;" filled="f" stroked="t" coordsize="21600,21600" o:gfxdata="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wDyi0wAAAAcBAAAPAAAAAAAAAAEAIAAAACIAAABkcnMvZG93bnJldi54bWxQSwEC&#10;FAAUAAAACACHTuJAsRbMDPkBAAD0AwAADgAAAAAAAAABACAAAAAiAQAAZHJzL2Uyb0RvYy54bWxQ&#10;SwUGAAAAAAYABgBZAQAAjQUAAAAA&#10;">
                <v:fill on="f" focussize="0,0"/>
                <v:stroke color="#000000" joinstyle="round"/>
                <v:imagedata o:title=""/>
                <o:lock v:ext="edit" aspectratio="f"/>
              </v:line>
            </w:pict>
          </mc:Fallback>
        </mc:AlternateContent>
      </w:r>
      <w:r>
        <w:rPr>
          <w:rFonts w:hint="eastAsia" w:ascii="仿宋_GB2312" w:hAnsi="仿宋_GB2312" w:eastAsia="仿宋_GB2312" w:cs="仿宋_GB2312"/>
          <w:color w:val="auto"/>
          <w:sz w:val="32"/>
          <w:szCs w:val="32"/>
          <w:u w:val="none"/>
          <w:lang w:eastAsia="zh-CN"/>
        </w:rPr>
        <w:t>本文书一式三份，一份送达，一份归档</w:t>
      </w:r>
      <w:r>
        <w:rPr>
          <w:rFonts w:hint="eastAsia" w:ascii="仿宋_GB2312" w:hAnsi="仿宋_GB2312" w:eastAsia="仿宋_GB2312" w:cs="仿宋_GB2312"/>
          <w:color w:val="auto"/>
          <w:sz w:val="32"/>
          <w:szCs w:val="32"/>
          <w:u w:val="none"/>
        </w:rPr>
        <w:t>，一份</w:t>
      </w:r>
      <w:r>
        <w:rPr>
          <w:rFonts w:hint="eastAsia" w:ascii="仿宋_GB2312" w:hAnsi="仿宋_GB2312" w:eastAsia="仿宋_GB2312" w:cs="仿宋_GB2312"/>
          <w:color w:val="auto"/>
          <w:sz w:val="32"/>
          <w:szCs w:val="32"/>
          <w:u w:val="none"/>
          <w:lang w:eastAsia="zh-CN"/>
        </w:rPr>
        <w:t>办案机构</w:t>
      </w:r>
      <w:r>
        <w:rPr>
          <w:rFonts w:hint="eastAsia" w:ascii="仿宋_GB2312" w:hAnsi="仿宋_GB2312" w:eastAsia="仿宋_GB2312" w:cs="仿宋_GB2312"/>
          <w:color w:val="auto"/>
          <w:sz w:val="32"/>
          <w:szCs w:val="32"/>
          <w:u w:val="none"/>
        </w:rPr>
        <w:t>留存</w:t>
      </w:r>
      <w:r>
        <w:rPr>
          <w:rFonts w:hint="eastAsia" w:ascii="仿宋_GB2312" w:hAnsi="仿宋_GB2312" w:eastAsia="仿宋_GB2312" w:cs="仿宋_GB2312"/>
          <w:color w:val="auto"/>
          <w:sz w:val="32"/>
          <w:szCs w:val="32"/>
          <w:u w:val="none"/>
          <w:lang w:eastAsia="zh-CN"/>
        </w:rPr>
        <w:t>。</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angal">
    <w:panose1 w:val="02040503050203030202"/>
    <w:charset w:val="00"/>
    <w:family w:val="roman"/>
    <w:pitch w:val="default"/>
    <w:sig w:usb0="00008003"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方正小标宋简体">
    <w:panose1 w:val="03000509000000000000"/>
    <w:charset w:val="86"/>
    <w:family w:val="script"/>
    <w:pitch w:val="default"/>
    <w:sig w:usb0="00000001" w:usb1="080E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93FD5">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0D28D3">
                          <w:pPr>
                            <w:pStyle w:val="5"/>
                            <w:rPr>
                              <w:rFonts w:hint="eastAsia" w:ascii="宋体" w:hAnsi="宋体" w:eastAsia="宋体" w:cs="宋体"/>
                              <w:sz w:val="28"/>
                              <w:szCs w:val="28"/>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0D28D3">
                    <w:pPr>
                      <w:pStyle w:val="5"/>
                      <w:rPr>
                        <w:rFonts w:hint="eastAsia" w:ascii="宋体" w:hAnsi="宋体" w:eastAsia="宋体" w:cs="宋体"/>
                        <w:sz w:val="28"/>
                        <w:szCs w:val="28"/>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3"/>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2">
    <w:nsid w:val="66D6D0CF"/>
    <w:multiLevelType w:val="singleLevel"/>
    <w:tmpl w:val="66D6D0CF"/>
    <w:lvl w:ilvl="0" w:tentative="0">
      <w:start w:val="6"/>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Q5ZmI1NmM0NTFmZTU5ZDUyNjZiMTM4MjRlMDJmYTcifQ=="/>
    <w:docVar w:name="KSO_WPS_MARK_KEY" w:val="e0e0a264-4759-4521-88aa-fd686ed44552"/>
  </w:docVars>
  <w:rsids>
    <w:rsidRoot w:val="5BA419F7"/>
    <w:rsid w:val="00193C35"/>
    <w:rsid w:val="0032134F"/>
    <w:rsid w:val="015676BF"/>
    <w:rsid w:val="02B83402"/>
    <w:rsid w:val="046837CA"/>
    <w:rsid w:val="04BA1C3F"/>
    <w:rsid w:val="04CD463F"/>
    <w:rsid w:val="04FA4431"/>
    <w:rsid w:val="062E1218"/>
    <w:rsid w:val="06BAE61F"/>
    <w:rsid w:val="071C7669"/>
    <w:rsid w:val="072E2862"/>
    <w:rsid w:val="0776795A"/>
    <w:rsid w:val="07F7533D"/>
    <w:rsid w:val="07FE68EB"/>
    <w:rsid w:val="08076446"/>
    <w:rsid w:val="08365B64"/>
    <w:rsid w:val="08F23066"/>
    <w:rsid w:val="098E3ABC"/>
    <w:rsid w:val="0AA44133"/>
    <w:rsid w:val="0AE84FF2"/>
    <w:rsid w:val="0B22091D"/>
    <w:rsid w:val="0C89564B"/>
    <w:rsid w:val="0CA33BCC"/>
    <w:rsid w:val="0CF71776"/>
    <w:rsid w:val="0D096D81"/>
    <w:rsid w:val="0D3861B5"/>
    <w:rsid w:val="0F611949"/>
    <w:rsid w:val="0FFFE86C"/>
    <w:rsid w:val="103E22C5"/>
    <w:rsid w:val="10653E4F"/>
    <w:rsid w:val="110F7D08"/>
    <w:rsid w:val="1350279A"/>
    <w:rsid w:val="14203063"/>
    <w:rsid w:val="143E1E38"/>
    <w:rsid w:val="1525639D"/>
    <w:rsid w:val="152E563E"/>
    <w:rsid w:val="15AD1A1E"/>
    <w:rsid w:val="15B93156"/>
    <w:rsid w:val="15C779B2"/>
    <w:rsid w:val="163836F0"/>
    <w:rsid w:val="165035D4"/>
    <w:rsid w:val="175C1E3F"/>
    <w:rsid w:val="17B865FB"/>
    <w:rsid w:val="18325353"/>
    <w:rsid w:val="18B229B2"/>
    <w:rsid w:val="19FE4517"/>
    <w:rsid w:val="1ABE5DA1"/>
    <w:rsid w:val="1AC07E1A"/>
    <w:rsid w:val="1B7802A0"/>
    <w:rsid w:val="1BC65F68"/>
    <w:rsid w:val="1C67350C"/>
    <w:rsid w:val="1E2525B5"/>
    <w:rsid w:val="1F2B5D07"/>
    <w:rsid w:val="1F6752CB"/>
    <w:rsid w:val="1FD31F15"/>
    <w:rsid w:val="20D648C2"/>
    <w:rsid w:val="21505C8B"/>
    <w:rsid w:val="220B2CE7"/>
    <w:rsid w:val="22F55C75"/>
    <w:rsid w:val="24084D2B"/>
    <w:rsid w:val="24626694"/>
    <w:rsid w:val="24E75A37"/>
    <w:rsid w:val="253C3E23"/>
    <w:rsid w:val="258D6CE0"/>
    <w:rsid w:val="27053D24"/>
    <w:rsid w:val="276E08C0"/>
    <w:rsid w:val="2A9F8649"/>
    <w:rsid w:val="2AEA2DB3"/>
    <w:rsid w:val="2B075FE6"/>
    <w:rsid w:val="2B1B3EFC"/>
    <w:rsid w:val="2CCD678E"/>
    <w:rsid w:val="2CCF5C64"/>
    <w:rsid w:val="2CEA3815"/>
    <w:rsid w:val="2DE10173"/>
    <w:rsid w:val="2ECC3CD5"/>
    <w:rsid w:val="2F327E79"/>
    <w:rsid w:val="2F7CE1EF"/>
    <w:rsid w:val="2FE8594F"/>
    <w:rsid w:val="3015257C"/>
    <w:rsid w:val="30DB5683"/>
    <w:rsid w:val="32F3303B"/>
    <w:rsid w:val="34BD4037"/>
    <w:rsid w:val="353B4E25"/>
    <w:rsid w:val="3585615B"/>
    <w:rsid w:val="361C25FD"/>
    <w:rsid w:val="368E5656"/>
    <w:rsid w:val="36B70655"/>
    <w:rsid w:val="377FBB27"/>
    <w:rsid w:val="378D0FB6"/>
    <w:rsid w:val="37F16547"/>
    <w:rsid w:val="38B63DA7"/>
    <w:rsid w:val="39B21228"/>
    <w:rsid w:val="3A4E178D"/>
    <w:rsid w:val="3A5E6B4F"/>
    <w:rsid w:val="3BF97ECA"/>
    <w:rsid w:val="3C2965F0"/>
    <w:rsid w:val="3C8C4C3B"/>
    <w:rsid w:val="3D217658"/>
    <w:rsid w:val="3E0C1501"/>
    <w:rsid w:val="3F2604DF"/>
    <w:rsid w:val="3F3106BC"/>
    <w:rsid w:val="3F6783E4"/>
    <w:rsid w:val="3FFF82D4"/>
    <w:rsid w:val="402E7C06"/>
    <w:rsid w:val="40FE5F8F"/>
    <w:rsid w:val="425049CE"/>
    <w:rsid w:val="43730AB0"/>
    <w:rsid w:val="45CA7D80"/>
    <w:rsid w:val="45EC0A45"/>
    <w:rsid w:val="46EB783F"/>
    <w:rsid w:val="48943F06"/>
    <w:rsid w:val="48C10000"/>
    <w:rsid w:val="4A2B0A3A"/>
    <w:rsid w:val="4AE96ACE"/>
    <w:rsid w:val="4B0A02C2"/>
    <w:rsid w:val="4BBE3774"/>
    <w:rsid w:val="4C0201EE"/>
    <w:rsid w:val="4C02380F"/>
    <w:rsid w:val="4CC8271B"/>
    <w:rsid w:val="50B15470"/>
    <w:rsid w:val="544C2111"/>
    <w:rsid w:val="548173AF"/>
    <w:rsid w:val="552A59CF"/>
    <w:rsid w:val="57503162"/>
    <w:rsid w:val="58025EF8"/>
    <w:rsid w:val="58702637"/>
    <w:rsid w:val="591F0542"/>
    <w:rsid w:val="59924E91"/>
    <w:rsid w:val="5AF92E81"/>
    <w:rsid w:val="5B1E5F8A"/>
    <w:rsid w:val="5BA419F7"/>
    <w:rsid w:val="5BF91583"/>
    <w:rsid w:val="5BFB2E57"/>
    <w:rsid w:val="5C1E2E18"/>
    <w:rsid w:val="5D201067"/>
    <w:rsid w:val="5D3C19FB"/>
    <w:rsid w:val="5DD7483B"/>
    <w:rsid w:val="5E5FAB03"/>
    <w:rsid w:val="5F08663C"/>
    <w:rsid w:val="5F9FEDD5"/>
    <w:rsid w:val="5FBEF003"/>
    <w:rsid w:val="5FE33914"/>
    <w:rsid w:val="5FFA4D85"/>
    <w:rsid w:val="602422E6"/>
    <w:rsid w:val="60DE4ED0"/>
    <w:rsid w:val="612E7E8C"/>
    <w:rsid w:val="613C3374"/>
    <w:rsid w:val="61402C9C"/>
    <w:rsid w:val="616C4C70"/>
    <w:rsid w:val="61A65EC3"/>
    <w:rsid w:val="62012A77"/>
    <w:rsid w:val="636F6DEF"/>
    <w:rsid w:val="64607667"/>
    <w:rsid w:val="649C61C5"/>
    <w:rsid w:val="64E43803"/>
    <w:rsid w:val="669D12B6"/>
    <w:rsid w:val="66EF4576"/>
    <w:rsid w:val="671465AA"/>
    <w:rsid w:val="689E2CBC"/>
    <w:rsid w:val="69005B2E"/>
    <w:rsid w:val="6AD7030F"/>
    <w:rsid w:val="6BCC1BB9"/>
    <w:rsid w:val="6D923254"/>
    <w:rsid w:val="6E04767D"/>
    <w:rsid w:val="6E6950E9"/>
    <w:rsid w:val="6F732ABB"/>
    <w:rsid w:val="6F9E6F2E"/>
    <w:rsid w:val="6FEF5D19"/>
    <w:rsid w:val="6FF58B64"/>
    <w:rsid w:val="6FF8F863"/>
    <w:rsid w:val="70CF02CA"/>
    <w:rsid w:val="71013020"/>
    <w:rsid w:val="7376089F"/>
    <w:rsid w:val="73851C79"/>
    <w:rsid w:val="75B2DA43"/>
    <w:rsid w:val="75BD90DB"/>
    <w:rsid w:val="76C00A6A"/>
    <w:rsid w:val="7794703F"/>
    <w:rsid w:val="77DF8BD4"/>
    <w:rsid w:val="77EFD5CC"/>
    <w:rsid w:val="77FB2266"/>
    <w:rsid w:val="77FFADAC"/>
    <w:rsid w:val="7874060E"/>
    <w:rsid w:val="7A273C9E"/>
    <w:rsid w:val="7ABD4419"/>
    <w:rsid w:val="7BFD6076"/>
    <w:rsid w:val="7C8E43D6"/>
    <w:rsid w:val="7DA813EB"/>
    <w:rsid w:val="7DED72FF"/>
    <w:rsid w:val="7DFF108F"/>
    <w:rsid w:val="7E0250CA"/>
    <w:rsid w:val="7E6C6CF7"/>
    <w:rsid w:val="7EED8AE6"/>
    <w:rsid w:val="91BF8AB9"/>
    <w:rsid w:val="9FF1B21D"/>
    <w:rsid w:val="B7BFD803"/>
    <w:rsid w:val="BD5EB179"/>
    <w:rsid w:val="BD7F788E"/>
    <w:rsid w:val="DEFF1EB3"/>
    <w:rsid w:val="DF3F4C88"/>
    <w:rsid w:val="DF7A9960"/>
    <w:rsid w:val="DFBF15D5"/>
    <w:rsid w:val="DFD70EC8"/>
    <w:rsid w:val="DFFE6C63"/>
    <w:rsid w:val="E53DE605"/>
    <w:rsid w:val="ECC7B000"/>
    <w:rsid w:val="F0ED2927"/>
    <w:rsid w:val="F3EF5848"/>
    <w:rsid w:val="F5A28C7E"/>
    <w:rsid w:val="F9BF6AE4"/>
    <w:rsid w:val="FB57F652"/>
    <w:rsid w:val="FBBF88F6"/>
    <w:rsid w:val="FBFEBC90"/>
    <w:rsid w:val="FD7BEF22"/>
    <w:rsid w:val="FD8BB826"/>
    <w:rsid w:val="FD9199D6"/>
    <w:rsid w:val="FDAC17BA"/>
    <w:rsid w:val="FDDF4064"/>
    <w:rsid w:val="FDF46C9E"/>
    <w:rsid w:val="FEDEBCAC"/>
    <w:rsid w:val="FF7F62AA"/>
    <w:rsid w:val="FFDBA3A8"/>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styleId="4">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5">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2005</Words>
  <Characters>2148</Characters>
  <Lines>0</Lines>
  <Paragraphs>0</Paragraphs>
  <TotalTime>1</TotalTime>
  <ScaleCrop>false</ScaleCrop>
  <LinksUpToDate>false</LinksUpToDate>
  <CharactersWithSpaces>2222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2021-08-01T18:04:00Z</dcterms:created>
  <dc:creator>胖林宝宝噜啦噜～</dc:creator>
  <cp:lastModifiedBy>蕃蕃</cp:lastModifiedBy>
  <cp:lastPrinted>2024-12-11T09:03:00Z</cp:lastPrinted>
  <dcterms:modified xsi:type="dcterms:W3CDTF">2026-09-03T01:45:02Z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526F4C53292B48849053E71A59849707</vt:lpwstr>
  </property>
  <property fmtid="{D5CDD505-2E9C-101B-9397-08002B2CF9AE}" pid="4" name="KSOTemplateDocerSaveRecord">
    <vt:lpwstr>eyJoZGlkIjoiNjljYzBiNmJkNjNmYjA3MDkwNzQ4ZTM5NDc1MTY5NDgiLCJ1c2VySWQiOiI5MTQwNjk2NTMifQ==</vt:lpwstr>
  </property>
</Properties>
</file>