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6C0E58">
      <w:pPr>
        <w:spacing w:line="520" w:lineRule="exact"/>
        <w:jc w:val="center"/>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lang w:val="en-US" w:eastAsia="zh-CN"/>
        </w:rPr>
        <w:t xml:space="preserve">  </w:t>
      </w:r>
      <w:r>
        <w:rPr>
          <w:rFonts w:hint="eastAsia" w:ascii="方正小标宋简体" w:hAnsi="方正小标宋简体" w:eastAsia="方正小标宋简体" w:cs="方正小标宋简体"/>
          <w:color w:val="auto"/>
          <w:sz w:val="44"/>
          <w:szCs w:val="44"/>
        </w:rPr>
        <w:t>柳州市柳北区市场监督管理局</w:t>
      </w:r>
    </w:p>
    <w:p w14:paraId="07B0A73F">
      <w:pPr>
        <w:tabs>
          <w:tab w:val="left" w:pos="1649"/>
          <w:tab w:val="center" w:pos="4596"/>
        </w:tabs>
        <w:spacing w:line="520" w:lineRule="exact"/>
        <w:jc w:val="left"/>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lang w:eastAsia="zh-CN"/>
        </w:rPr>
        <w:tab/>
      </w:r>
      <w:r>
        <w:rPr>
          <w:rFonts w:hint="eastAsia" w:ascii="方正小标宋简体" w:hAnsi="方正小标宋简体" w:eastAsia="方正小标宋简体" w:cs="方正小标宋简体"/>
          <w:color w:val="auto"/>
          <w:sz w:val="44"/>
          <w:szCs w:val="44"/>
          <w:lang w:eastAsia="zh-CN"/>
        </w:rPr>
        <w:tab/>
      </w:r>
      <w:r>
        <w:rPr>
          <w:rFonts w:hint="eastAsia" w:ascii="方正小标宋简体" w:hAnsi="方正小标宋简体" w:eastAsia="方正小标宋简体" w:cs="方正小标宋简体"/>
          <w:color w:val="auto"/>
          <w:sz w:val="44"/>
          <w:szCs w:val="44"/>
        </w:rPr>
        <w:t>行政处罚决定书</w:t>
      </w:r>
    </w:p>
    <w:p w14:paraId="6AF48001">
      <w:pPr>
        <w:keepNext w:val="0"/>
        <w:keepLines w:val="0"/>
        <w:pageBreakBefore w:val="0"/>
        <w:widowControl w:val="0"/>
        <w:kinsoku/>
        <w:wordWrap/>
        <w:overflowPunct/>
        <w:topLinePunct w:val="0"/>
        <w:autoSpaceDE/>
        <w:autoSpaceDN/>
        <w:bidi w:val="0"/>
        <w:snapToGrid/>
        <w:spacing w:line="420" w:lineRule="exact"/>
        <w:ind w:left="0" w:leftChars="0"/>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柳北市监</w:t>
      </w:r>
      <w:r>
        <w:rPr>
          <w:rFonts w:hint="eastAsia" w:ascii="仿宋_GB2312" w:hAnsi="仿宋_GB2312" w:eastAsia="仿宋_GB2312" w:cs="仿宋_GB2312"/>
          <w:color w:val="auto"/>
          <w:sz w:val="32"/>
          <w:szCs w:val="32"/>
          <w:lang w:eastAsia="zh-CN"/>
        </w:rPr>
        <w:t>处</w:t>
      </w:r>
      <w:r>
        <w:rPr>
          <w:rFonts w:hint="eastAsia" w:ascii="仿宋_GB2312" w:hAnsi="仿宋_GB2312" w:eastAsia="仿宋_GB2312" w:cs="仿宋_GB2312"/>
          <w:color w:val="auto"/>
          <w:sz w:val="32"/>
          <w:szCs w:val="32"/>
        </w:rPr>
        <w:t>罚〔202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104</w:t>
      </w:r>
      <w:r>
        <w:rPr>
          <w:rFonts w:hint="eastAsia" w:ascii="仿宋_GB2312" w:hAnsi="仿宋_GB2312" w:eastAsia="仿宋_GB2312" w:cs="仿宋_GB2312"/>
          <w:color w:val="auto"/>
          <w:sz w:val="32"/>
          <w:szCs w:val="32"/>
        </w:rPr>
        <w:t>号</w:t>
      </w:r>
    </w:p>
    <w:p w14:paraId="38193302">
      <w:pPr>
        <w:keepNext w:val="0"/>
        <w:keepLines w:val="0"/>
        <w:pageBreakBefore w:val="0"/>
        <w:widowControl w:val="0"/>
        <w:kinsoku/>
        <w:wordWrap/>
        <w:overflowPunct/>
        <w:topLinePunct w:val="0"/>
        <w:autoSpaceDE/>
        <w:autoSpaceDN/>
        <w:bidi w:val="0"/>
        <w:adjustRightInd w:val="0"/>
        <w:snapToGrid/>
        <w:spacing w:line="420" w:lineRule="exact"/>
        <w:ind w:left="0" w:leftChars="0" w:right="233" w:rightChars="111"/>
        <w:textAlignment w:val="baseline"/>
        <w:rPr>
          <w:rFonts w:ascii="仿宋_GB2312" w:hAnsi="仿宋_GB2312" w:eastAsia="仿宋_GB2312" w:cs="仿宋_GB2312"/>
          <w:color w:val="auto"/>
          <w:sz w:val="32"/>
          <w:szCs w:val="32"/>
        </w:rPr>
      </w:pPr>
    </w:p>
    <w:p w14:paraId="2F8515ED">
      <w:pPr>
        <w:keepNext w:val="0"/>
        <w:keepLines w:val="0"/>
        <w:pageBreakBefore w:val="0"/>
        <w:widowControl w:val="0"/>
        <w:kinsoku/>
        <w:wordWrap/>
        <w:overflowPunct/>
        <w:topLinePunct w:val="0"/>
        <w:autoSpaceDE/>
        <w:autoSpaceDN/>
        <w:bidi w:val="0"/>
        <w:adjustRightInd w:val="0"/>
        <w:snapToGrid/>
        <w:spacing w:line="520" w:lineRule="exact"/>
        <w:ind w:left="0" w:leftChars="0" w:right="233" w:rightChars="111"/>
        <w:textAlignment w:val="baseline"/>
        <w:rPr>
          <w:rFonts w:hint="eastAsia" w:ascii="仿宋_GB2312" w:hAnsi="仿宋_GB2312" w:eastAsia="仿宋_GB2312" w:cs="仿宋_GB2312"/>
          <w:color w:val="auto"/>
          <w:sz w:val="32"/>
          <w:szCs w:val="32"/>
          <w:u w:val="none" w:color="auto"/>
          <w:lang w:val="en-US" w:eastAsia="zh-CN"/>
        </w:rPr>
      </w:pPr>
      <w:r>
        <w:rPr>
          <w:rFonts w:hint="eastAsia" w:ascii="仿宋_GB2312" w:hAnsi="仿宋_GB2312" w:eastAsia="仿宋_GB2312" w:cs="仿宋_GB2312"/>
          <w:bCs/>
          <w:color w:val="auto"/>
          <w:sz w:val="32"/>
          <w:szCs w:val="32"/>
          <w:u w:val="none" w:color="auto"/>
          <w:lang w:val="en-US" w:eastAsia="zh-CN"/>
        </w:rPr>
        <w:t>当事人：</w:t>
      </w:r>
      <w:r>
        <w:rPr>
          <w:rFonts w:hint="default" w:ascii="仿宋_GB2312" w:hAnsi="仿宋_GB2312" w:eastAsia="仿宋_GB2312" w:cs="仿宋_GB2312"/>
          <w:color w:val="auto"/>
          <w:sz w:val="32"/>
          <w:szCs w:val="32"/>
          <w:u w:val="none" w:color="auto"/>
          <w:lang w:val="en-US" w:eastAsia="zh-CN"/>
        </w:rPr>
        <w:t>柳州市柳北区</w:t>
      </w:r>
      <w:r>
        <w:rPr>
          <w:rFonts w:hint="eastAsia" w:ascii="仿宋_GB2312" w:hAnsi="仿宋_GB2312" w:eastAsia="仿宋_GB2312" w:cs="仿宋_GB2312"/>
          <w:color w:val="auto"/>
          <w:sz w:val="32"/>
          <w:szCs w:val="32"/>
          <w:u w:val="none" w:color="auto"/>
          <w:lang w:val="en-US" w:eastAsia="zh-CN"/>
        </w:rPr>
        <w:t>铛牛佬北雀牛杂风味餐馆</w:t>
      </w:r>
    </w:p>
    <w:p w14:paraId="784971C8">
      <w:pPr>
        <w:keepNext w:val="0"/>
        <w:keepLines w:val="0"/>
        <w:pageBreakBefore w:val="0"/>
        <w:widowControl w:val="0"/>
        <w:kinsoku/>
        <w:wordWrap/>
        <w:overflowPunct/>
        <w:topLinePunct w:val="0"/>
        <w:autoSpaceDE/>
        <w:autoSpaceDN/>
        <w:bidi w:val="0"/>
        <w:adjustRightInd w:val="0"/>
        <w:snapToGrid/>
        <w:spacing w:line="520" w:lineRule="exact"/>
        <w:ind w:left="0" w:leftChars="0" w:right="233" w:rightChars="111"/>
        <w:textAlignment w:val="baseline"/>
        <w:rPr>
          <w:rFonts w:hint="eastAsia" w:ascii="仿宋_GB2312" w:hAnsi="仿宋_GB2312" w:eastAsia="仿宋_GB2312" w:cs="仿宋_GB2312"/>
          <w:bCs/>
          <w:color w:val="auto"/>
          <w:sz w:val="32"/>
          <w:szCs w:val="32"/>
          <w:u w:val="none" w:color="auto"/>
          <w:lang w:val="en-US" w:eastAsia="zh-CN"/>
        </w:rPr>
      </w:pPr>
      <w:r>
        <w:rPr>
          <w:rFonts w:hint="eastAsia" w:ascii="仿宋_GB2312" w:hAnsi="仿宋_GB2312" w:eastAsia="仿宋_GB2312" w:cs="仿宋_GB2312"/>
          <w:bCs/>
          <w:color w:val="auto"/>
          <w:sz w:val="32"/>
          <w:szCs w:val="32"/>
          <w:u w:val="none" w:color="auto"/>
          <w:lang w:val="en-US" w:eastAsia="zh-CN"/>
        </w:rPr>
        <w:t xml:space="preserve">主体资格证照名称：营业执照  </w:t>
      </w:r>
    </w:p>
    <w:p w14:paraId="06E21B2C">
      <w:pPr>
        <w:keepNext w:val="0"/>
        <w:keepLines w:val="0"/>
        <w:pageBreakBefore w:val="0"/>
        <w:widowControl w:val="0"/>
        <w:kinsoku/>
        <w:wordWrap/>
        <w:overflowPunct/>
        <w:topLinePunct w:val="0"/>
        <w:autoSpaceDE/>
        <w:autoSpaceDN/>
        <w:bidi w:val="0"/>
        <w:adjustRightInd w:val="0"/>
        <w:snapToGrid/>
        <w:spacing w:line="520" w:lineRule="exact"/>
        <w:ind w:left="0" w:leftChars="0" w:right="233" w:rightChars="111"/>
        <w:textAlignment w:val="baseline"/>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bCs/>
          <w:color w:val="auto"/>
          <w:sz w:val="32"/>
          <w:szCs w:val="32"/>
          <w:u w:val="none" w:color="auto"/>
          <w:lang w:val="en-US" w:eastAsia="zh-CN"/>
        </w:rPr>
        <w:t>统一社会信用代码：</w:t>
      </w:r>
      <w:r>
        <w:rPr>
          <w:rFonts w:hint="eastAsia" w:ascii="仿宋_GB2312" w:hAnsi="仿宋_GB2312" w:eastAsia="仿宋_GB2312" w:cs="仿宋_GB2312"/>
          <w:color w:val="auto"/>
          <w:sz w:val="32"/>
          <w:szCs w:val="32"/>
          <w:lang w:val="en-US" w:eastAsia="zh-CN"/>
        </w:rPr>
        <w:t>92450205MA5L98WL1E</w:t>
      </w:r>
    </w:p>
    <w:p w14:paraId="1BA819B9">
      <w:pPr>
        <w:keepNext w:val="0"/>
        <w:keepLines w:val="0"/>
        <w:pageBreakBefore w:val="0"/>
        <w:widowControl w:val="0"/>
        <w:kinsoku/>
        <w:wordWrap/>
        <w:overflowPunct/>
        <w:topLinePunct w:val="0"/>
        <w:autoSpaceDE/>
        <w:autoSpaceDN/>
        <w:bidi w:val="0"/>
        <w:adjustRightInd w:val="0"/>
        <w:snapToGrid/>
        <w:spacing w:line="520" w:lineRule="exact"/>
        <w:ind w:left="0" w:leftChars="0" w:right="233" w:rightChars="111"/>
        <w:textAlignment w:val="baseline"/>
        <w:rPr>
          <w:rFonts w:hint="default" w:ascii="仿宋_GB2312" w:hAnsi="仿宋_GB2312" w:eastAsia="仿宋_GB2312" w:cs="仿宋_GB2312"/>
          <w:color w:val="auto"/>
          <w:sz w:val="32"/>
          <w:szCs w:val="32"/>
          <w:u w:val="none" w:color="auto"/>
          <w:lang w:val="en-US" w:eastAsia="zh-CN"/>
        </w:rPr>
      </w:pPr>
      <w:r>
        <w:rPr>
          <w:rFonts w:hint="eastAsia" w:ascii="仿宋_GB2312" w:hAnsi="仿宋_GB2312" w:eastAsia="仿宋_GB2312" w:cs="仿宋_GB2312"/>
          <w:bCs/>
          <w:color w:val="auto"/>
          <w:sz w:val="32"/>
          <w:szCs w:val="32"/>
          <w:u w:val="none" w:color="auto"/>
          <w:lang w:val="en-US" w:eastAsia="zh-CN"/>
        </w:rPr>
        <w:t>经营场所：</w:t>
      </w:r>
      <w:r>
        <w:rPr>
          <w:rFonts w:hint="eastAsia" w:ascii="仿宋_GB2312" w:hAnsi="仿宋_GB2312" w:eastAsia="仿宋_GB2312" w:cs="仿宋_GB2312"/>
          <w:color w:val="auto"/>
          <w:sz w:val="32"/>
          <w:szCs w:val="32"/>
          <w:u w:val="none" w:color="auto"/>
          <w:lang w:val="en-US" w:eastAsia="zh-CN"/>
        </w:rPr>
        <w:t>柳州市柳北区北雀路木材专用线铁道口旁2-1号门面</w:t>
      </w:r>
    </w:p>
    <w:p w14:paraId="0715ED3B">
      <w:pPr>
        <w:keepNext w:val="0"/>
        <w:keepLines w:val="0"/>
        <w:pageBreakBefore w:val="0"/>
        <w:widowControl w:val="0"/>
        <w:kinsoku/>
        <w:wordWrap/>
        <w:overflowPunct/>
        <w:topLinePunct w:val="0"/>
        <w:autoSpaceDE/>
        <w:autoSpaceDN/>
        <w:bidi w:val="0"/>
        <w:adjustRightInd w:val="0"/>
        <w:snapToGrid/>
        <w:spacing w:line="520" w:lineRule="exact"/>
        <w:ind w:left="0" w:leftChars="0" w:right="233" w:rightChars="111"/>
        <w:textAlignment w:val="baseline"/>
        <w:rPr>
          <w:rFonts w:hint="eastAsia" w:ascii="仿宋_GB2312" w:hAnsi="仿宋_GB2312" w:eastAsia="仿宋_GB2312" w:cs="仿宋_GB2312"/>
          <w:bCs/>
          <w:color w:val="auto"/>
          <w:sz w:val="32"/>
          <w:szCs w:val="32"/>
          <w:lang w:eastAsia="zh-CN"/>
        </w:rPr>
      </w:pPr>
      <w:r>
        <w:rPr>
          <w:rFonts w:hint="eastAsia" w:ascii="仿宋_GB2312" w:hAnsi="仿宋_GB2312" w:eastAsia="仿宋_GB2312" w:cs="仿宋_GB2312"/>
          <w:color w:val="auto"/>
          <w:w w:val="100"/>
          <w:sz w:val="32"/>
          <w:szCs w:val="32"/>
          <w:u w:val="none" w:color="auto"/>
          <w:lang w:val="en-US" w:eastAsia="zh-CN"/>
        </w:rPr>
        <w:t>经营者：</w:t>
      </w:r>
      <w:r>
        <w:rPr>
          <w:rFonts w:hint="eastAsia" w:ascii="仿宋_GB2312" w:hAnsi="仿宋_GB2312" w:eastAsia="仿宋_GB2312" w:cs="仿宋_GB2312"/>
          <w:bCs/>
          <w:color w:val="auto"/>
          <w:sz w:val="32"/>
          <w:szCs w:val="32"/>
          <w:lang w:eastAsia="zh-CN"/>
        </w:rPr>
        <w:t>韦祖钱</w:t>
      </w:r>
    </w:p>
    <w:p w14:paraId="7C463E43">
      <w:pPr>
        <w:keepNext w:val="0"/>
        <w:keepLines w:val="0"/>
        <w:pageBreakBefore w:val="0"/>
        <w:widowControl w:val="0"/>
        <w:kinsoku/>
        <w:wordWrap/>
        <w:overflowPunct/>
        <w:topLinePunct w:val="0"/>
        <w:autoSpaceDE/>
        <w:autoSpaceDN/>
        <w:bidi w:val="0"/>
        <w:adjustRightInd w:val="0"/>
        <w:snapToGrid/>
        <w:spacing w:line="520" w:lineRule="exact"/>
        <w:ind w:left="0" w:leftChars="0" w:right="233" w:rightChars="111"/>
        <w:textAlignment w:val="baseline"/>
        <w:rPr>
          <w:rFonts w:hint="default" w:ascii="仿宋_GB2312" w:hAnsi="仿宋_GB2312" w:eastAsia="仿宋_GB2312" w:cs="仿宋_GB2312"/>
          <w:bCs/>
          <w:color w:val="auto"/>
          <w:w w:val="100"/>
          <w:sz w:val="32"/>
          <w:szCs w:val="32"/>
          <w:u w:val="none" w:color="auto"/>
          <w:lang w:val="en-US" w:eastAsia="zh-CN"/>
        </w:rPr>
      </w:pPr>
      <w:r>
        <w:rPr>
          <w:rFonts w:hint="eastAsia" w:ascii="仿宋_GB2312" w:hAnsi="仿宋_GB2312" w:eastAsia="仿宋_GB2312" w:cs="仿宋_GB2312"/>
          <w:bCs/>
          <w:color w:val="auto"/>
          <w:w w:val="100"/>
          <w:sz w:val="32"/>
          <w:szCs w:val="32"/>
          <w:u w:val="none" w:color="auto"/>
          <w:lang w:val="en-US" w:eastAsia="zh-CN"/>
        </w:rPr>
        <w:t>身份证件号码：</w:t>
      </w:r>
      <w:r>
        <w:rPr>
          <w:rFonts w:hint="eastAsia" w:ascii="仿宋_GB2312" w:hAnsi="仿宋_GB2312" w:eastAsia="仿宋_GB2312" w:cs="仿宋_GB2312"/>
          <w:color w:val="auto"/>
          <w:w w:val="100"/>
          <w:kern w:val="0"/>
          <w:sz w:val="32"/>
          <w:szCs w:val="32"/>
          <w:u w:val="none" w:color="auto"/>
          <w:lang w:val="en-US" w:eastAsia="zh-CN" w:bidi="ar"/>
        </w:rPr>
        <w:t>*</w:t>
      </w:r>
    </w:p>
    <w:p w14:paraId="19DAD30D">
      <w:pPr>
        <w:keepNext w:val="0"/>
        <w:keepLines w:val="0"/>
        <w:pageBreakBefore w:val="0"/>
        <w:widowControl w:val="0"/>
        <w:kinsoku/>
        <w:wordWrap/>
        <w:overflowPunct/>
        <w:topLinePunct w:val="0"/>
        <w:autoSpaceDE/>
        <w:autoSpaceDN/>
        <w:bidi w:val="0"/>
        <w:adjustRightInd w:val="0"/>
        <w:snapToGrid/>
        <w:spacing w:line="520" w:lineRule="exact"/>
        <w:ind w:left="0" w:leftChars="0" w:right="233" w:rightChars="111" w:firstLine="640" w:firstLineChars="200"/>
        <w:textAlignment w:val="baseline"/>
        <w:rPr>
          <w:rFonts w:hint="eastAsia" w:ascii="仿宋_GB2312" w:hAnsi="仿宋_GB2312" w:eastAsia="仿宋_GB2312" w:cs="仿宋_GB2312"/>
          <w:color w:val="auto"/>
          <w:w w:val="100"/>
          <w:sz w:val="32"/>
          <w:szCs w:val="32"/>
        </w:rPr>
      </w:pPr>
    </w:p>
    <w:p w14:paraId="110A82E2">
      <w:pPr>
        <w:keepNext w:val="0"/>
        <w:keepLines w:val="0"/>
        <w:pageBreakBefore w:val="0"/>
        <w:kinsoku/>
        <w:wordWrap/>
        <w:overflowPunct/>
        <w:topLinePunct w:val="0"/>
        <w:autoSpaceDE/>
        <w:autoSpaceDN/>
        <w:bidi w:val="0"/>
        <w:adjustRightInd/>
        <w:snapToGrid/>
        <w:spacing w:line="520" w:lineRule="exact"/>
        <w:ind w:firstLine="640" w:firstLineChars="200"/>
        <w:rPr>
          <w:rFonts w:hint="eastAsia" w:ascii="仿宋_GB2312" w:hAnsi="仿宋_GB2312" w:eastAsia="仿宋_GB2312" w:cs="仿宋_GB2312"/>
          <w:color w:val="auto"/>
          <w:kern w:val="0"/>
          <w:sz w:val="32"/>
          <w:szCs w:val="32"/>
          <w:u w:val="none" w:color="auto"/>
          <w:lang w:val="en-US" w:eastAsia="zh-CN" w:bidi="ar-SA"/>
        </w:rPr>
      </w:pPr>
      <w:r>
        <w:rPr>
          <w:rFonts w:hint="eastAsia" w:ascii="仿宋_GB2312" w:hAnsi="仿宋_GB2312" w:eastAsia="仿宋_GB2312" w:cs="仿宋_GB2312"/>
          <w:color w:val="auto"/>
          <w:kern w:val="0"/>
          <w:sz w:val="32"/>
          <w:szCs w:val="32"/>
          <w:u w:val="none" w:color="auto"/>
          <w:lang w:val="en-US" w:eastAsia="zh-CN" w:bidi="ar-SA"/>
        </w:rPr>
        <w:t>接到举报后我局执法人员于2026年5月27日对当事人的网络餐饮服务经营场所进行现场核查，发现当事人从事餐饮服务活动但未能出示有效的《食品经营许可证》，当事人的上述行为涉嫌违反了《</w:t>
      </w:r>
      <w:r>
        <w:rPr>
          <w:rFonts w:hint="eastAsia" w:ascii="仿宋_GB2312" w:hAnsi="仿宋_GB2312" w:eastAsia="仿宋_GB2312" w:cs="仿宋_GB2312"/>
          <w:bCs/>
          <w:color w:val="auto"/>
          <w:sz w:val="32"/>
          <w:szCs w:val="32"/>
          <w:u w:val="none"/>
          <w:lang w:val="en-US" w:eastAsia="zh-CN"/>
        </w:rPr>
        <w:t>中华人民共和国食品安全法</w:t>
      </w:r>
      <w:r>
        <w:rPr>
          <w:rFonts w:hint="eastAsia" w:ascii="仿宋_GB2312" w:hAnsi="仿宋_GB2312" w:eastAsia="仿宋_GB2312" w:cs="仿宋_GB2312"/>
          <w:color w:val="auto"/>
          <w:kern w:val="0"/>
          <w:sz w:val="32"/>
          <w:szCs w:val="32"/>
          <w:u w:val="none" w:color="auto"/>
          <w:lang w:val="en-US" w:eastAsia="zh-CN" w:bidi="ar-SA"/>
        </w:rPr>
        <w:t>》第三十五条第一款的规定，依据《市场监督管理行政处罚程序规定》第十九条的规定，我局于2026年</w:t>
      </w:r>
      <w:r>
        <w:rPr>
          <w:rFonts w:hint="eastAsia" w:ascii="仿宋_GB2312" w:hAnsi="仿宋_GB2312" w:eastAsia="仿宋_GB2312" w:cs="仿宋_GB2312"/>
          <w:color w:val="auto"/>
          <w:kern w:val="0"/>
          <w:sz w:val="32"/>
          <w:szCs w:val="32"/>
          <w:highlight w:val="none"/>
          <w:u w:val="none" w:color="auto"/>
          <w:lang w:val="en-US" w:eastAsia="zh-CN" w:bidi="ar-SA"/>
        </w:rPr>
        <w:t>6月16日对</w:t>
      </w:r>
      <w:r>
        <w:rPr>
          <w:rFonts w:hint="eastAsia" w:ascii="仿宋_GB2312" w:hAnsi="仿宋_GB2312" w:eastAsia="仿宋_GB2312" w:cs="仿宋_GB2312"/>
          <w:color w:val="auto"/>
          <w:kern w:val="0"/>
          <w:sz w:val="32"/>
          <w:szCs w:val="32"/>
          <w:u w:val="none" w:color="auto"/>
          <w:lang w:val="en-US" w:eastAsia="zh-CN" w:bidi="ar-SA"/>
        </w:rPr>
        <w:t>当事人涉嫌</w:t>
      </w:r>
      <w:r>
        <w:rPr>
          <w:rFonts w:hint="eastAsia" w:ascii="仿宋_GB2312" w:hAnsi="仿宋_GB2312" w:eastAsia="仿宋_GB2312" w:cs="仿宋_GB2312"/>
          <w:bCs/>
          <w:color w:val="auto"/>
          <w:sz w:val="32"/>
          <w:szCs w:val="32"/>
          <w:lang w:eastAsia="zh-CN"/>
        </w:rPr>
        <w:t>未经许可从事食品经营活动的行为</w:t>
      </w:r>
      <w:r>
        <w:rPr>
          <w:rFonts w:hint="eastAsia" w:ascii="仿宋_GB2312" w:hAnsi="仿宋_GB2312" w:eastAsia="仿宋_GB2312" w:cs="仿宋_GB2312"/>
          <w:color w:val="auto"/>
          <w:kern w:val="0"/>
          <w:sz w:val="32"/>
          <w:szCs w:val="32"/>
          <w:u w:val="none" w:color="auto"/>
          <w:lang w:val="en-US" w:eastAsia="zh-CN" w:bidi="ar-SA"/>
        </w:rPr>
        <w:t>进行立案调查。本案未采取行政强制措施。</w:t>
      </w:r>
    </w:p>
    <w:p w14:paraId="11D170D8">
      <w:pPr>
        <w:pStyle w:val="4"/>
        <w:keepNext w:val="0"/>
        <w:keepLines w:val="0"/>
        <w:pageBreakBefore w:val="0"/>
        <w:widowControl/>
        <w:kinsoku/>
        <w:wordWrap/>
        <w:overflowPunct/>
        <w:topLinePunct w:val="0"/>
        <w:autoSpaceDE/>
        <w:autoSpaceDN/>
        <w:bidi w:val="0"/>
        <w:adjustRightInd/>
        <w:snapToGrid/>
        <w:spacing w:beforeAutospacing="0" w:afterAutospacing="0" w:line="520" w:lineRule="exact"/>
        <w:ind w:left="0" w:leftChars="0" w:right="0" w:rightChars="0" w:firstLine="640" w:firstLineChars="200"/>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经查实，当事人编号为JY24502050092510的《食品经营许可证》已于2026年5月23日到期，当事人自2026年5月24日起，在未依法取得《</w:t>
      </w:r>
      <w:r>
        <w:rPr>
          <w:rFonts w:hint="eastAsia" w:ascii="仿宋_GB2312" w:hAnsi="仿宋_GB2312" w:eastAsia="仿宋_GB2312" w:cs="仿宋_GB2312"/>
          <w:color w:val="auto"/>
          <w:kern w:val="0"/>
          <w:sz w:val="32"/>
          <w:szCs w:val="32"/>
          <w:u w:val="none" w:color="auto"/>
          <w:lang w:val="en-US" w:eastAsia="zh-CN" w:bidi="ar-SA"/>
        </w:rPr>
        <w:t>食品经营许可证</w:t>
      </w:r>
      <w:r>
        <w:rPr>
          <w:rFonts w:hint="eastAsia" w:ascii="仿宋_GB2312" w:hAnsi="仿宋_GB2312" w:eastAsia="仿宋_GB2312" w:cs="仿宋_GB2312"/>
          <w:color w:val="auto"/>
          <w:kern w:val="2"/>
          <w:sz w:val="32"/>
          <w:szCs w:val="32"/>
          <w:lang w:val="en-US" w:eastAsia="zh-CN" w:bidi="ar-SA"/>
        </w:rPr>
        <w:t>》的情况下</w:t>
      </w:r>
      <w:r>
        <w:rPr>
          <w:rFonts w:hint="eastAsia" w:ascii="仿宋_GB2312" w:hAnsi="仿宋_GB2312" w:eastAsia="仿宋_GB2312" w:cs="仿宋_GB2312"/>
          <w:color w:val="auto"/>
          <w:sz w:val="32"/>
          <w:szCs w:val="32"/>
          <w:u w:val="none"/>
          <w:lang w:val="en-US" w:eastAsia="zh-CN"/>
        </w:rPr>
        <w:t>，通过线下及抖音、美团网络平台开设的</w:t>
      </w:r>
      <w:r>
        <w:rPr>
          <w:rFonts w:hint="eastAsia" w:ascii="仿宋_GB2312" w:hAnsi="仿宋_GB2312" w:eastAsia="仿宋_GB2312" w:cs="仿宋_GB2312"/>
          <w:bCs/>
          <w:color w:val="auto"/>
          <w:sz w:val="32"/>
          <w:szCs w:val="32"/>
          <w:lang w:eastAsia="zh-CN"/>
        </w:rPr>
        <w:t>名称均为“铛牛佬牛肉牛杂火锅城（北雀店）”的店铺</w:t>
      </w:r>
      <w:r>
        <w:rPr>
          <w:rFonts w:hint="eastAsia" w:ascii="仿宋_GB2312" w:hAnsi="仿宋_GB2312" w:eastAsia="仿宋_GB2312" w:cs="仿宋_GB2312"/>
          <w:color w:val="auto"/>
          <w:kern w:val="2"/>
          <w:sz w:val="32"/>
          <w:szCs w:val="32"/>
          <w:lang w:val="en-US" w:eastAsia="zh-CN" w:bidi="ar-SA"/>
        </w:rPr>
        <w:t>从事</w:t>
      </w:r>
      <w:r>
        <w:rPr>
          <w:rFonts w:hint="eastAsia" w:ascii="仿宋_GB2312" w:hAnsi="仿宋_GB2312" w:eastAsia="仿宋_GB2312" w:cs="仿宋_GB2312"/>
          <w:bCs/>
          <w:color w:val="auto"/>
          <w:sz w:val="32"/>
          <w:szCs w:val="32"/>
          <w:lang w:eastAsia="zh-CN"/>
        </w:rPr>
        <w:t>餐饮服务经营活动。</w:t>
      </w:r>
      <w:r>
        <w:rPr>
          <w:rFonts w:hint="eastAsia" w:ascii="仿宋_GB2312" w:hAnsi="仿宋_GB2312" w:eastAsia="仿宋_GB2312" w:cs="仿宋_GB2312"/>
          <w:color w:val="auto"/>
          <w:kern w:val="2"/>
          <w:sz w:val="32"/>
          <w:szCs w:val="32"/>
          <w:lang w:val="en-US" w:eastAsia="zh-CN" w:bidi="ar-SA"/>
        </w:rPr>
        <w:t>截至2026年5月27日</w:t>
      </w:r>
      <w:r>
        <w:rPr>
          <w:rFonts w:hint="eastAsia" w:ascii="仿宋_GB2312" w:hAnsi="仿宋_GB2312" w:eastAsia="仿宋_GB2312" w:cs="仿宋_GB2312"/>
          <w:b w:val="0"/>
          <w:bCs w:val="0"/>
          <w:strike w:val="0"/>
          <w:dstrike w:val="0"/>
          <w:color w:val="auto"/>
          <w:sz w:val="32"/>
          <w:szCs w:val="32"/>
          <w:u w:val="none"/>
          <w:lang w:val="en-US" w:eastAsia="zh-CN"/>
        </w:rPr>
        <w:t>被我局依法查获时止，销售额共计2970.6元</w:t>
      </w:r>
      <w:r>
        <w:rPr>
          <w:rFonts w:hint="eastAsia" w:ascii="仿宋_GB2312" w:hAnsi="仿宋_GB2312" w:eastAsia="仿宋_GB2312" w:cs="仿宋_GB2312"/>
          <w:color w:val="auto"/>
          <w:kern w:val="2"/>
          <w:sz w:val="32"/>
          <w:szCs w:val="32"/>
          <w:lang w:val="en-US" w:eastAsia="zh-CN" w:bidi="ar-SA"/>
        </w:rPr>
        <w:t>。由于当事人提供的采购食品原料的票据为手写送货单，送货单无法体现供货者、收货者等信息，当事人也无法提供采购食品原料的相关转账凭证和发票，因此当事人提供的认定合法必要支出所需的证据材料不充分，当事人合法必要支出无法计算。</w:t>
      </w:r>
    </w:p>
    <w:p w14:paraId="2AC22EB1">
      <w:pPr>
        <w:keepNext w:val="0"/>
        <w:keepLines w:val="0"/>
        <w:pageBreakBefore w:val="0"/>
        <w:widowControl w:val="0"/>
        <w:kinsoku/>
        <w:wordWrap/>
        <w:overflowPunct/>
        <w:topLinePunct w:val="0"/>
        <w:autoSpaceDE/>
        <w:autoSpaceDN/>
        <w:bidi w:val="0"/>
        <w:snapToGrid/>
        <w:spacing w:line="520" w:lineRule="exact"/>
        <w:ind w:left="0" w:leftChars="0"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kern w:val="2"/>
          <w:sz w:val="32"/>
          <w:szCs w:val="32"/>
          <w:lang w:val="en-US" w:eastAsia="zh-CN" w:bidi="ar-SA"/>
        </w:rPr>
        <w:t>另查实，当事人的实际经营地址已变更为</w:t>
      </w:r>
      <w:r>
        <w:rPr>
          <w:rFonts w:hint="eastAsia" w:ascii="仿宋_GB2312" w:hAnsi="仿宋_GB2312" w:eastAsia="仿宋_GB2312" w:cs="仿宋_GB2312"/>
          <w:color w:val="auto"/>
          <w:sz w:val="32"/>
          <w:szCs w:val="32"/>
          <w:u w:val="none"/>
          <w:lang w:val="en-US" w:eastAsia="zh-CN"/>
        </w:rPr>
        <w:t>柳州市柳北区北雀路木材专用线铁道口旁2-1、2-2、2-3号门面，当事人未及时向登记部门申请变更登记事项。</w:t>
      </w:r>
    </w:p>
    <w:p w14:paraId="4914AA8E">
      <w:pPr>
        <w:keepNext w:val="0"/>
        <w:keepLines w:val="0"/>
        <w:pageBreakBefore w:val="0"/>
        <w:widowControl w:val="0"/>
        <w:kinsoku/>
        <w:wordWrap/>
        <w:overflowPunct/>
        <w:topLinePunct w:val="0"/>
        <w:autoSpaceDE/>
        <w:autoSpaceDN/>
        <w:bidi w:val="0"/>
        <w:snapToGrid/>
        <w:spacing w:line="520" w:lineRule="exact"/>
        <w:ind w:left="0" w:leftChars="0"/>
        <w:jc w:val="both"/>
        <w:textAlignment w:val="auto"/>
        <w:rPr>
          <w:rFonts w:ascii="仿宋_GB2312" w:hAnsi="仿宋_GB2312" w:eastAsia="仿宋_GB2312" w:cs="仿宋_GB2312"/>
          <w:b/>
          <w:color w:val="auto"/>
          <w:sz w:val="32"/>
          <w:szCs w:val="32"/>
        </w:rPr>
      </w:pPr>
      <w:r>
        <w:rPr>
          <w:rFonts w:hint="eastAsia" w:hAnsi="仿宋_GB2312" w:cs="仿宋_GB2312"/>
          <w:color w:val="auto"/>
          <w:kern w:val="0"/>
          <w:sz w:val="32"/>
          <w:szCs w:val="32"/>
          <w:lang w:val="en-US" w:eastAsia="zh-CN"/>
        </w:rPr>
        <w:t xml:space="preserve">    </w:t>
      </w:r>
      <w:r>
        <w:rPr>
          <w:rFonts w:hint="eastAsia" w:ascii="仿宋_GB2312" w:hAnsi="仿宋_GB2312" w:eastAsia="仿宋_GB2312" w:cs="仿宋_GB2312"/>
          <w:b w:val="0"/>
          <w:bCs/>
          <w:color w:val="auto"/>
          <w:sz w:val="32"/>
          <w:szCs w:val="32"/>
        </w:rPr>
        <w:t>上述事实，主要有以下证据证明：</w:t>
      </w:r>
    </w:p>
    <w:p w14:paraId="38AB730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lang w:val="en-US" w:eastAsia="zh-CN" w:bidi="ar-SA"/>
        </w:rPr>
        <w:t>1.</w:t>
      </w:r>
      <w:r>
        <w:rPr>
          <w:rFonts w:hint="eastAsia" w:ascii="仿宋_GB2312" w:hAnsi="仿宋_GB2312" w:eastAsia="仿宋_GB2312" w:cs="仿宋_GB2312"/>
          <w:color w:val="auto"/>
          <w:sz w:val="32"/>
          <w:szCs w:val="32"/>
          <w:highlight w:val="none"/>
          <w:lang w:eastAsia="zh-CN"/>
        </w:rPr>
        <w:t>当事人的《营业执照》复印件</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份、经营者韦祖钱身份证复印件</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份、授权委托书</w:t>
      </w:r>
      <w:r>
        <w:rPr>
          <w:rFonts w:hint="eastAsia" w:ascii="仿宋_GB2312" w:hAnsi="仿宋_GB2312" w:eastAsia="仿宋_GB2312" w:cs="仿宋_GB2312"/>
          <w:color w:val="auto"/>
          <w:sz w:val="32"/>
          <w:szCs w:val="32"/>
          <w:highlight w:val="none"/>
          <w:lang w:val="en-US" w:eastAsia="zh-CN"/>
        </w:rPr>
        <w:t>1份、受托人身份证复印件1份，证明当事人的主体资格</w:t>
      </w:r>
      <w:r>
        <w:rPr>
          <w:rFonts w:hint="eastAsia" w:ascii="仿宋_GB2312" w:hAnsi="仿宋_GB2312" w:eastAsia="仿宋_GB2312" w:cs="仿宋_GB2312"/>
          <w:strike w:val="0"/>
          <w:dstrike w:val="0"/>
          <w:color w:val="auto"/>
          <w:sz w:val="32"/>
          <w:szCs w:val="32"/>
          <w:highlight w:val="none"/>
          <w:lang w:val="en-US" w:eastAsia="zh-CN"/>
        </w:rPr>
        <w:t>、经营者、受托人</w:t>
      </w:r>
      <w:r>
        <w:rPr>
          <w:rFonts w:hint="eastAsia" w:ascii="仿宋_GB2312" w:hAnsi="仿宋_GB2312" w:eastAsia="仿宋_GB2312" w:cs="仿宋_GB2312"/>
          <w:color w:val="auto"/>
          <w:sz w:val="32"/>
          <w:szCs w:val="32"/>
          <w:highlight w:val="none"/>
          <w:lang w:val="en-US" w:eastAsia="zh-CN"/>
        </w:rPr>
        <w:t>的身份信息。</w:t>
      </w:r>
    </w:p>
    <w:p w14:paraId="6C0C410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2.《现场笔录》1份、《询问笔录》1份、《证据提取单》12份，《租赁协议》复印件1份、《公司（企业、个体户）住所（经营场所证明）》复印件1份，证明当事人</w:t>
      </w:r>
      <w:r>
        <w:rPr>
          <w:rFonts w:hint="eastAsia" w:ascii="仿宋_GB2312" w:hAnsi="仿宋_GB2312" w:eastAsia="仿宋_GB2312" w:cs="仿宋_GB2312"/>
          <w:color w:val="auto"/>
          <w:kern w:val="2"/>
          <w:sz w:val="32"/>
          <w:szCs w:val="32"/>
          <w:lang w:val="en-US" w:eastAsia="zh-CN" w:bidi="ar-SA"/>
        </w:rPr>
        <w:t>在未依法取得《</w:t>
      </w:r>
      <w:r>
        <w:rPr>
          <w:rFonts w:hint="eastAsia" w:ascii="仿宋_GB2312" w:hAnsi="仿宋_GB2312" w:eastAsia="仿宋_GB2312" w:cs="仿宋_GB2312"/>
          <w:color w:val="auto"/>
          <w:kern w:val="0"/>
          <w:sz w:val="32"/>
          <w:szCs w:val="32"/>
          <w:u w:val="none" w:color="auto"/>
          <w:lang w:val="en-US" w:eastAsia="zh-CN" w:bidi="ar-SA"/>
        </w:rPr>
        <w:t>食品经营许可证</w:t>
      </w:r>
      <w:r>
        <w:rPr>
          <w:rFonts w:hint="eastAsia" w:ascii="仿宋_GB2312" w:hAnsi="仿宋_GB2312" w:eastAsia="仿宋_GB2312" w:cs="仿宋_GB2312"/>
          <w:color w:val="auto"/>
          <w:kern w:val="2"/>
          <w:sz w:val="32"/>
          <w:szCs w:val="32"/>
          <w:lang w:val="en-US" w:eastAsia="zh-CN" w:bidi="ar-SA"/>
        </w:rPr>
        <w:t>》的情况下从事网络餐饮服务活动的事实，以及经营地址发生变化未</w:t>
      </w:r>
      <w:r>
        <w:rPr>
          <w:rFonts w:hint="eastAsia" w:ascii="仿宋_GB2312" w:hAnsi="仿宋_GB2312" w:eastAsia="仿宋_GB2312" w:cs="仿宋_GB2312"/>
          <w:color w:val="auto"/>
          <w:sz w:val="32"/>
          <w:szCs w:val="32"/>
          <w:u w:val="none"/>
          <w:lang w:val="en-US" w:eastAsia="zh-CN"/>
        </w:rPr>
        <w:t>及时向登记部门申请变更登记事项</w:t>
      </w:r>
      <w:r>
        <w:rPr>
          <w:rFonts w:hint="eastAsia" w:ascii="仿宋_GB2312" w:hAnsi="仿宋_GB2312" w:eastAsia="仿宋_GB2312" w:cs="仿宋_GB2312"/>
          <w:bCs/>
          <w:color w:val="auto"/>
          <w:sz w:val="32"/>
          <w:szCs w:val="32"/>
          <w:lang w:eastAsia="zh-CN"/>
        </w:rPr>
        <w:t>的事实。</w:t>
      </w:r>
      <w:r>
        <w:rPr>
          <w:rFonts w:hint="eastAsia" w:ascii="仿宋_GB2312" w:hAnsi="仿宋_GB2312" w:eastAsia="仿宋_GB2312" w:cs="仿宋_GB2312"/>
          <w:b w:val="0"/>
          <w:bCs w:val="0"/>
          <w:color w:val="auto"/>
          <w:sz w:val="32"/>
          <w:szCs w:val="32"/>
          <w:highlight w:val="none"/>
          <w:lang w:val="en-US" w:eastAsia="zh-CN"/>
        </w:rPr>
        <w:t xml:space="preserve"> </w:t>
      </w:r>
    </w:p>
    <w:p w14:paraId="270D58F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3.桂牛鲜生”点菜单复印件1份，销售收入截图共4页12份，证明当事人2026年5月24日到2026年5月27日期间的从事餐饮服务活动的营业性收入。</w:t>
      </w:r>
    </w:p>
    <w:p w14:paraId="7ED7A22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4.2026年5月24日到2026年5月27日的牛杂及菜品的进货票据24份、</w:t>
      </w:r>
      <w:r>
        <w:rPr>
          <w:rFonts w:hint="eastAsia" w:ascii="仿宋_GB2312" w:hAnsi="仿宋_GB2312" w:eastAsia="仿宋_GB2312" w:cs="仿宋_GB2312"/>
          <w:b w:val="0"/>
          <w:bCs w:val="0"/>
          <w:color w:val="auto"/>
          <w:sz w:val="32"/>
          <w:szCs w:val="32"/>
          <w:highlight w:val="none"/>
          <w:lang w:val="en-US" w:eastAsia="zh-CN"/>
        </w:rPr>
        <w:t>柳州市柳南区明香蔬菜经营部及柳州市鱼峰区祖校食品经营部《营业执照》复印件各1份</w:t>
      </w:r>
      <w:r>
        <w:rPr>
          <w:rFonts w:hint="eastAsia" w:ascii="仿宋_GB2312" w:hAnsi="仿宋_GB2312" w:eastAsia="仿宋_GB2312" w:cs="仿宋_GB2312"/>
          <w:color w:val="auto"/>
          <w:sz w:val="32"/>
          <w:szCs w:val="32"/>
          <w:highlight w:val="none"/>
          <w:lang w:val="en-US" w:eastAsia="zh-CN"/>
        </w:rPr>
        <w:t>，证明</w:t>
      </w:r>
      <w:r>
        <w:rPr>
          <w:rFonts w:hint="eastAsia" w:ascii="仿宋_GB2312" w:hAnsi="仿宋_GB2312" w:eastAsia="仿宋_GB2312" w:cs="仿宋_GB2312"/>
          <w:color w:val="auto"/>
          <w:kern w:val="2"/>
          <w:sz w:val="32"/>
          <w:szCs w:val="32"/>
          <w:lang w:val="en-US" w:eastAsia="zh-CN" w:bidi="ar-SA"/>
        </w:rPr>
        <w:t>当事人提供的认定合法必要支出所需的证据材料不充分，无法计算当事人合法必要支出的情况</w:t>
      </w:r>
      <w:r>
        <w:rPr>
          <w:rFonts w:hint="eastAsia" w:ascii="仿宋_GB2312" w:hAnsi="仿宋_GB2312" w:eastAsia="仿宋_GB2312" w:cs="仿宋_GB2312"/>
          <w:color w:val="auto"/>
          <w:sz w:val="32"/>
          <w:szCs w:val="32"/>
          <w:highlight w:val="none"/>
          <w:lang w:val="en-US" w:eastAsia="zh-CN"/>
        </w:rPr>
        <w:t>。</w:t>
      </w:r>
    </w:p>
    <w:p w14:paraId="6D9645F1">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Cs/>
          <w:color w:val="auto"/>
          <w:sz w:val="32"/>
          <w:szCs w:val="32"/>
          <w:u w:val="none" w:color="auto"/>
          <w:lang w:val="en-US" w:eastAsia="zh-CN"/>
        </w:rPr>
      </w:pPr>
      <w:r>
        <w:rPr>
          <w:rFonts w:hint="eastAsia" w:ascii="仿宋_GB2312" w:hAnsi="仿宋_GB2312" w:eastAsia="仿宋_GB2312" w:cs="仿宋_GB2312"/>
          <w:color w:val="auto"/>
          <w:sz w:val="32"/>
          <w:szCs w:val="32"/>
          <w:highlight w:val="none"/>
          <w:lang w:eastAsia="zh-CN"/>
        </w:rPr>
        <w:t>以上</w:t>
      </w:r>
      <w:r>
        <w:rPr>
          <w:rFonts w:hint="eastAsia" w:ascii="仿宋_GB2312" w:hAnsi="仿宋_GB2312" w:eastAsia="仿宋_GB2312" w:cs="仿宋_GB2312"/>
          <w:color w:val="auto"/>
          <w:sz w:val="32"/>
          <w:szCs w:val="32"/>
          <w:highlight w:val="none"/>
        </w:rPr>
        <w:t>证据由</w:t>
      </w:r>
      <w:r>
        <w:rPr>
          <w:rFonts w:hint="eastAsia" w:ascii="仿宋_GB2312" w:hAnsi="仿宋_GB2312" w:eastAsia="仿宋_GB2312" w:cs="仿宋_GB2312"/>
          <w:color w:val="auto"/>
          <w:sz w:val="32"/>
          <w:szCs w:val="32"/>
          <w:highlight w:val="none"/>
          <w:lang w:eastAsia="zh-CN"/>
        </w:rPr>
        <w:t>当事人及相关证明人签字认可</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Cs/>
          <w:color w:val="auto"/>
          <w:sz w:val="32"/>
          <w:szCs w:val="32"/>
          <w:u w:val="none" w:color="auto"/>
          <w:lang w:val="en-US" w:eastAsia="zh-CN"/>
        </w:rPr>
        <w:t xml:space="preserve"> </w:t>
      </w:r>
    </w:p>
    <w:p w14:paraId="10366988">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Cs/>
          <w:color w:val="auto"/>
          <w:sz w:val="32"/>
          <w:szCs w:val="32"/>
          <w:u w:val="none" w:color="auto"/>
          <w:lang w:val="en-US" w:eastAsia="zh-CN"/>
        </w:rPr>
      </w:pPr>
      <w:r>
        <w:rPr>
          <w:rFonts w:hint="eastAsia" w:ascii="仿宋_GB2312" w:hAnsi="仿宋_GB2312" w:eastAsia="仿宋_GB2312" w:cs="仿宋_GB2312"/>
          <w:bCs/>
          <w:color w:val="auto"/>
          <w:sz w:val="32"/>
          <w:szCs w:val="32"/>
          <w:u w:val="none" w:color="auto"/>
          <w:lang w:val="en-US" w:eastAsia="zh-CN"/>
        </w:rPr>
        <w:t>2026年8月24日我局向当事人送达了《行政处罚告知书》（柳北市监罚告</w:t>
      </w:r>
      <w:r>
        <w:rPr>
          <w:rFonts w:hint="eastAsia" w:ascii="仿宋_GB2312" w:hAnsi="仿宋_GB2312" w:eastAsia="仿宋_GB2312" w:cs="仿宋_GB2312"/>
          <w:bCs/>
          <w:color w:val="auto"/>
          <w:sz w:val="32"/>
          <w:szCs w:val="32"/>
          <w:highlight w:val="none"/>
          <w:u w:val="none" w:color="auto"/>
          <w:lang w:val="en-US" w:eastAsia="zh-CN"/>
        </w:rPr>
        <w:t>〔2026〕89号</w:t>
      </w:r>
      <w:r>
        <w:rPr>
          <w:rFonts w:hint="eastAsia" w:ascii="仿宋_GB2312" w:hAnsi="仿宋_GB2312" w:eastAsia="仿宋_GB2312" w:cs="仿宋_GB2312"/>
          <w:bCs/>
          <w:color w:val="auto"/>
          <w:sz w:val="32"/>
          <w:szCs w:val="32"/>
          <w:u w:val="none" w:color="auto"/>
          <w:lang w:val="en-US" w:eastAsia="zh-CN"/>
        </w:rPr>
        <w:t>），告知当事人我局拟作出行政处罚的事实、理由、依据、处罚内容及享有的权利。当事人在法定期限内未提出陈述、申辩。</w:t>
      </w:r>
    </w:p>
    <w:p w14:paraId="4D96E1B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highlight w:val="none"/>
          <w:lang w:eastAsia="zh-CN"/>
        </w:rPr>
        <w:t>当事人的</w:t>
      </w:r>
      <w:r>
        <w:rPr>
          <w:rFonts w:hint="eastAsia" w:ascii="仿宋_GB2312" w:hAnsi="仿宋_GB2312" w:eastAsia="仿宋_GB2312" w:cs="仿宋_GB2312"/>
          <w:bCs/>
          <w:color w:val="auto"/>
          <w:sz w:val="32"/>
          <w:szCs w:val="32"/>
          <w:lang w:eastAsia="zh-CN"/>
        </w:rPr>
        <w:t>上述行为，</w:t>
      </w:r>
      <w:r>
        <w:rPr>
          <w:rFonts w:hint="eastAsia" w:ascii="仿宋_GB2312" w:hAnsi="仿宋_GB2312" w:eastAsia="仿宋_GB2312" w:cs="仿宋_GB2312"/>
          <w:bCs/>
          <w:color w:val="auto"/>
          <w:sz w:val="32"/>
          <w:szCs w:val="32"/>
          <w:lang w:val="en-US" w:eastAsia="zh-CN"/>
        </w:rPr>
        <w:t>违反《中华人民共和国食品安全法》第三十五条第一款“</w:t>
      </w:r>
      <w:r>
        <w:rPr>
          <w:rFonts w:hint="eastAsia" w:ascii="仿宋_GB2312" w:hAnsi="仿宋_GB2312" w:eastAsia="仿宋_GB2312" w:cs="仿宋_GB2312"/>
          <w:bCs/>
          <w:color w:val="auto"/>
          <w:sz w:val="32"/>
          <w:szCs w:val="32"/>
          <w:lang w:eastAsia="zh-CN"/>
        </w:rPr>
        <w:t>国家对食品生产经营实行许可制度。从事食品生产、食品销售、餐饮服务，应当依法取得许可。但是，销售食用农产品和仅销售预包装食品的，不需要取得许可。仅销售预包装食品的，应当报所在地县级以上地方人民政府食品安全监督管理部门备案。”的规</w:t>
      </w:r>
      <w:r>
        <w:rPr>
          <w:rFonts w:hint="eastAsia" w:ascii="仿宋_GB2312" w:hAnsi="仿宋_GB2312" w:eastAsia="仿宋_GB2312" w:cs="仿宋_GB2312"/>
          <w:color w:val="auto"/>
          <w:sz w:val="32"/>
          <w:szCs w:val="32"/>
          <w:highlight w:val="none"/>
          <w:lang w:eastAsia="zh-CN"/>
        </w:rPr>
        <w:t>定，属于</w:t>
      </w:r>
      <w:r>
        <w:rPr>
          <w:rFonts w:hint="eastAsia" w:ascii="仿宋_GB2312" w:hAnsi="仿宋_GB2312" w:eastAsia="仿宋_GB2312" w:cs="仿宋_GB2312"/>
          <w:bCs/>
          <w:color w:val="auto"/>
          <w:sz w:val="32"/>
          <w:szCs w:val="32"/>
          <w:lang w:eastAsia="zh-CN"/>
        </w:rPr>
        <w:t>未经许可从事食品经营活动</w:t>
      </w:r>
      <w:r>
        <w:rPr>
          <w:rFonts w:hint="eastAsia" w:ascii="仿宋_GB2312" w:hAnsi="仿宋_GB2312" w:eastAsia="仿宋_GB2312" w:cs="仿宋_GB2312"/>
          <w:color w:val="auto"/>
          <w:sz w:val="32"/>
          <w:szCs w:val="32"/>
          <w:highlight w:val="none"/>
          <w:lang w:eastAsia="zh-CN"/>
        </w:rPr>
        <w:t>的行为，违法所得为</w:t>
      </w:r>
      <w:r>
        <w:rPr>
          <w:rFonts w:hint="eastAsia" w:ascii="仿宋_GB2312" w:hAnsi="仿宋_GB2312" w:eastAsia="仿宋_GB2312" w:cs="仿宋_GB2312"/>
          <w:b w:val="0"/>
          <w:bCs w:val="0"/>
          <w:strike w:val="0"/>
          <w:dstrike w:val="0"/>
          <w:color w:val="auto"/>
          <w:sz w:val="32"/>
          <w:szCs w:val="32"/>
          <w:u w:val="none"/>
          <w:lang w:val="en-US" w:eastAsia="zh-CN"/>
        </w:rPr>
        <w:t>2970.6元</w:t>
      </w:r>
      <w:r>
        <w:rPr>
          <w:rFonts w:hint="eastAsia" w:ascii="仿宋_GB2312" w:hAnsi="仿宋_GB2312" w:eastAsia="仿宋_GB2312" w:cs="仿宋_GB2312"/>
          <w:color w:val="auto"/>
          <w:sz w:val="32"/>
          <w:szCs w:val="32"/>
          <w:lang w:val="en-US" w:eastAsia="zh-CN"/>
        </w:rPr>
        <w:t>。</w:t>
      </w:r>
    </w:p>
    <w:p w14:paraId="7269E9D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当事人未及时向登记部门申请变更登记事项的行为，违反了《中华人民共和国市场主体登记管理条例》第二十四条第一款“市场主体变更登记事项，应当自作出变更决议、决定或者法定变更事项发生之日起30日内向登记机关申请变更登记。”的规定，属于未按规定申请变更登记的行为。</w:t>
      </w:r>
    </w:p>
    <w:p w14:paraId="40811ED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640" w:firstLineChars="200"/>
        <w:jc w:val="left"/>
        <w:textAlignment w:val="center"/>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color w:val="auto"/>
          <w:sz w:val="32"/>
          <w:szCs w:val="32"/>
          <w:u w:val="none"/>
          <w:lang w:val="en-US" w:eastAsia="zh-CN"/>
        </w:rPr>
        <w:t>在案件调查过程中当事人积极配合我局调查，如实陈述违法事实并主动提供销售收入凭证等证据材料，</w:t>
      </w:r>
      <w:r>
        <w:rPr>
          <w:rFonts w:hint="eastAsia" w:ascii="仿宋_GB2312" w:hAnsi="仿宋_GB2312" w:eastAsia="仿宋_GB2312" w:cs="仿宋_GB2312"/>
          <w:color w:val="auto"/>
          <w:sz w:val="32"/>
          <w:szCs w:val="32"/>
          <w:highlight w:val="none"/>
          <w:u w:val="none"/>
          <w:lang w:val="en-US" w:eastAsia="zh-CN"/>
        </w:rPr>
        <w:t>当事人的上述行为未造成食品安全事故等人身危害后果，被我局依法查获后当事人立即停止经营，</w:t>
      </w:r>
      <w:r>
        <w:rPr>
          <w:rFonts w:hint="eastAsia" w:ascii="仿宋_GB2312" w:hAnsi="仿宋_GB2312" w:eastAsia="仿宋_GB2312" w:cs="仿宋_GB2312"/>
          <w:bCs/>
          <w:color w:val="auto"/>
          <w:sz w:val="32"/>
          <w:szCs w:val="32"/>
          <w:u w:val="none"/>
          <w:lang w:val="en-US" w:eastAsia="zh-CN"/>
        </w:rPr>
        <w:t>主动减轻违法行为危害后果</w:t>
      </w:r>
      <w:r>
        <w:rPr>
          <w:rFonts w:hint="eastAsia" w:ascii="仿宋_GB2312" w:hAnsi="仿宋_GB2312" w:eastAsia="仿宋_GB2312" w:cs="仿宋_GB2312"/>
          <w:color w:val="auto"/>
          <w:sz w:val="32"/>
          <w:szCs w:val="32"/>
          <w:lang w:val="en-US" w:eastAsia="zh-CN"/>
        </w:rPr>
        <w:t>，当事人的违法营业性收入不足三千元，</w:t>
      </w:r>
      <w:r>
        <w:rPr>
          <w:rFonts w:hint="eastAsia" w:ascii="仿宋_GB2312" w:hAnsi="仿宋_GB2312" w:eastAsia="仿宋_GB2312" w:cs="仿宋_GB2312"/>
          <w:color w:val="auto"/>
          <w:sz w:val="32"/>
          <w:szCs w:val="32"/>
          <w:shd w:val="clear" w:color="auto" w:fill="FFFFFF"/>
          <w:lang w:eastAsia="zh-CN"/>
        </w:rPr>
        <w:t>参照市场监管总局《关于规范市场监督管理行政处罚裁量权的指导意见》第十三条第二项“有下列情形之一的，应当依法从轻或者减轻行政处罚：（二）主动消除或者减轻违法行为危害后果的；”、第十四条第二项“有下列情形之一的，可以依法从轻或者减轻行政处罚：（二）积极配合市场监管部门调查并主动提供证据材料的；”、《广西壮族自治区市场监督管理行政处罚裁量权适用规定》第十一条第一款第二项“有下列情形之一的，应当依法从轻或者减轻行政处罚：（二）主动消除或者减轻违法行为危害后果的；”、第十二条第一款第二项“有下列情形之一的，可以依法从轻或者减轻行政处罚：（二）积极配合市场监管部门调查并主动提供证据材料的；”、</w:t>
      </w:r>
      <w:r>
        <w:rPr>
          <w:rFonts w:hint="eastAsia" w:ascii="仿宋_GB2312" w:hAnsi="仿宋_GB2312" w:eastAsia="仿宋_GB2312" w:cs="仿宋_GB2312"/>
          <w:color w:val="auto"/>
          <w:sz w:val="32"/>
          <w:szCs w:val="32"/>
          <w:shd w:val="clear" w:color="auto" w:fill="FFFFFF"/>
          <w:lang w:val="en-US" w:eastAsia="zh-CN"/>
        </w:rPr>
        <w:t>《广西壮族自治区市场监督管理行政处罚裁量基准（2023 版）》中《食品安全法》行政处罚裁量基准“没收违法所得和违法生产经营的食品、食品添加剂，并可以没收用于违法生产经营的工具、设备、原料等 物品；并处5万元以下罚款。”减轻处罚适用情形“未造成食品安全事故等人身危害后果且有下列情形之一的：3.货值金额</w:t>
      </w:r>
      <w:r>
        <w:rPr>
          <w:rFonts w:hint="default" w:ascii="仿宋_GB2312" w:hAnsi="仿宋_GB2312" w:eastAsia="仿宋_GB2312" w:cs="仿宋_GB2312"/>
          <w:color w:val="auto"/>
          <w:sz w:val="32"/>
          <w:szCs w:val="32"/>
          <w:shd w:val="clear" w:color="auto" w:fill="FFFFFF"/>
          <w:lang w:val="en-US" w:eastAsia="zh-CN"/>
        </w:rPr>
        <w:t>不足</w:t>
      </w:r>
      <w:r>
        <w:rPr>
          <w:rFonts w:hint="eastAsia" w:ascii="仿宋_GB2312" w:hAnsi="仿宋_GB2312" w:eastAsia="仿宋_GB2312" w:cs="仿宋_GB2312"/>
          <w:color w:val="auto"/>
          <w:sz w:val="32"/>
          <w:szCs w:val="32"/>
          <w:shd w:val="clear" w:color="auto" w:fill="FFFFFF"/>
          <w:lang w:val="en-US" w:eastAsia="zh-CN"/>
        </w:rPr>
        <w:t>三千元；4.当事人主动改正违法行为；”的规定，</w:t>
      </w:r>
      <w:r>
        <w:rPr>
          <w:rFonts w:hint="eastAsia" w:ascii="仿宋_GB2312" w:hAnsi="仿宋_GB2312" w:eastAsia="仿宋_GB2312" w:cs="仿宋_GB2312"/>
          <w:color w:val="auto"/>
          <w:sz w:val="32"/>
          <w:szCs w:val="32"/>
          <w:shd w:val="clear" w:color="auto" w:fill="FFFFFF"/>
          <w:lang w:eastAsia="zh-CN"/>
        </w:rPr>
        <w:t>依据《中华人民共和国行政处罚法》第五条第二款“设定和实施行政处罚必须以事实为依据，与违法行为的事实、性质、情节以及社会危害程度相当。”及第六条“实施行政处罚，纠正违法行为，应当坚持处罚与教育相结合，教育公民、法人或者其他组织自觉守法”、第三十二条第一项“当事人有下列情形之一，应当从轻或者减轻行政处罚：（一）主动消除或者减轻违法行为危害后果的；”</w:t>
      </w:r>
      <w:r>
        <w:rPr>
          <w:rFonts w:hint="eastAsia" w:ascii="仿宋_GB2312" w:hAnsi="仿宋_GB2312" w:eastAsia="仿宋_GB2312" w:cs="仿宋_GB2312"/>
          <w:color w:val="auto"/>
          <w:sz w:val="32"/>
          <w:szCs w:val="32"/>
          <w:shd w:val="clear" w:color="auto" w:fill="FFFFFF"/>
          <w:lang w:eastAsia="zh-CN"/>
        </w:rPr>
        <w:fldChar w:fldCharType="begin"/>
      </w:r>
      <w:r>
        <w:rPr>
          <w:rFonts w:hint="eastAsia" w:ascii="仿宋_GB2312" w:hAnsi="仿宋_GB2312" w:eastAsia="仿宋_GB2312" w:cs="仿宋_GB2312"/>
          <w:color w:val="auto"/>
          <w:sz w:val="32"/>
          <w:szCs w:val="32"/>
          <w:shd w:val="clear" w:color="auto" w:fill="FFFFFF"/>
          <w:lang w:eastAsia="zh-CN"/>
        </w:rPr>
        <w:instrText xml:space="preserve"> HYPERLINK "javascript:void(0);" </w:instrText>
      </w:r>
      <w:r>
        <w:rPr>
          <w:rFonts w:hint="eastAsia" w:ascii="仿宋_GB2312" w:hAnsi="仿宋_GB2312" w:eastAsia="仿宋_GB2312" w:cs="仿宋_GB2312"/>
          <w:color w:val="auto"/>
          <w:sz w:val="32"/>
          <w:szCs w:val="32"/>
          <w:shd w:val="clear" w:color="auto" w:fill="FFFFFF"/>
          <w:lang w:eastAsia="zh-CN"/>
        </w:rPr>
        <w:fldChar w:fldCharType="separate"/>
      </w:r>
      <w:r>
        <w:rPr>
          <w:rFonts w:hint="eastAsia" w:ascii="仿宋_GB2312" w:hAnsi="仿宋_GB2312" w:eastAsia="仿宋_GB2312" w:cs="仿宋_GB2312"/>
          <w:color w:val="auto"/>
          <w:sz w:val="32"/>
          <w:szCs w:val="32"/>
          <w:shd w:val="clear" w:color="auto" w:fill="FFFFFF"/>
          <w:lang w:eastAsia="zh-CN"/>
        </w:rPr>
        <w:fldChar w:fldCharType="end"/>
      </w:r>
      <w:r>
        <w:rPr>
          <w:rFonts w:hint="eastAsia" w:ascii="仿宋_GB2312" w:hAnsi="仿宋_GB2312" w:eastAsia="仿宋_GB2312" w:cs="仿宋_GB2312"/>
          <w:color w:val="auto"/>
          <w:sz w:val="32"/>
          <w:szCs w:val="32"/>
          <w:shd w:val="clear" w:color="auto" w:fill="FFFFFF"/>
          <w:lang w:eastAsia="zh-CN"/>
        </w:rPr>
        <w:t>的规定，</w:t>
      </w:r>
      <w:r>
        <w:rPr>
          <w:rFonts w:hint="eastAsia" w:ascii="仿宋_GB2312" w:hAnsi="仿宋_GB2312" w:eastAsia="仿宋_GB2312" w:cs="仿宋_GB2312"/>
          <w:bCs/>
          <w:strike w:val="0"/>
          <w:dstrike w:val="0"/>
          <w:color w:val="auto"/>
          <w:sz w:val="32"/>
          <w:szCs w:val="32"/>
          <w:u w:val="none"/>
          <w:lang w:val="en-US" w:eastAsia="zh-CN"/>
        </w:rPr>
        <w:t>我局决定</w:t>
      </w:r>
      <w:r>
        <w:rPr>
          <w:rFonts w:hint="eastAsia" w:ascii="仿宋_GB2312" w:hAnsi="仿宋_GB2312" w:eastAsia="仿宋_GB2312" w:cs="仿宋_GB2312"/>
          <w:color w:val="auto"/>
          <w:sz w:val="32"/>
          <w:szCs w:val="32"/>
          <w:u w:val="none"/>
          <w:lang w:eastAsia="zh-CN"/>
        </w:rPr>
        <w:t>给予</w:t>
      </w:r>
      <w:r>
        <w:rPr>
          <w:rFonts w:hint="eastAsia" w:ascii="仿宋_GB2312" w:hAnsi="仿宋_GB2312" w:eastAsia="仿宋_GB2312" w:cs="仿宋_GB2312"/>
          <w:color w:val="auto"/>
          <w:sz w:val="32"/>
          <w:szCs w:val="32"/>
          <w:u w:val="none"/>
        </w:rPr>
        <w:t>当事人</w:t>
      </w:r>
      <w:r>
        <w:rPr>
          <w:rFonts w:hint="eastAsia" w:ascii="仿宋_GB2312" w:hAnsi="仿宋_GB2312" w:eastAsia="仿宋_GB2312" w:cs="仿宋_GB2312"/>
          <w:color w:val="auto"/>
          <w:sz w:val="32"/>
          <w:szCs w:val="32"/>
          <w:lang w:eastAsia="zh-CN"/>
        </w:rPr>
        <w:t>减</w:t>
      </w:r>
      <w:r>
        <w:rPr>
          <w:rFonts w:hint="eastAsia" w:ascii="仿宋_GB2312" w:hAnsi="仿宋_GB2312" w:eastAsia="仿宋_GB2312" w:cs="仿宋_GB2312"/>
          <w:color w:val="auto"/>
          <w:sz w:val="32"/>
          <w:szCs w:val="32"/>
          <w:u w:val="none"/>
        </w:rPr>
        <w:t>轻</w:t>
      </w:r>
      <w:r>
        <w:rPr>
          <w:rFonts w:hint="eastAsia" w:ascii="仿宋_GB2312" w:hAnsi="仿宋_GB2312" w:eastAsia="仿宋_GB2312" w:cs="仿宋_GB2312"/>
          <w:color w:val="auto"/>
          <w:sz w:val="32"/>
          <w:szCs w:val="32"/>
          <w:u w:val="none"/>
          <w:lang w:eastAsia="zh-CN"/>
        </w:rPr>
        <w:t>行</w:t>
      </w:r>
      <w:r>
        <w:rPr>
          <w:rFonts w:hint="eastAsia" w:ascii="仿宋_GB2312" w:hAnsi="仿宋_GB2312" w:eastAsia="仿宋_GB2312" w:cs="仿宋_GB2312"/>
          <w:color w:val="auto"/>
          <w:sz w:val="32"/>
          <w:szCs w:val="32"/>
          <w:u w:val="none"/>
        </w:rPr>
        <w:t>政处罚。</w:t>
      </w:r>
    </w:p>
    <w:p w14:paraId="0353EC5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40" w:firstLineChars="200"/>
        <w:jc w:val="left"/>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对于当事人</w:t>
      </w:r>
      <w:r>
        <w:rPr>
          <w:rFonts w:hint="eastAsia" w:ascii="仿宋_GB2312" w:hAnsi="仿宋_GB2312" w:eastAsia="仿宋_GB2312" w:cs="仿宋_GB2312"/>
          <w:bCs/>
          <w:color w:val="auto"/>
          <w:sz w:val="32"/>
          <w:szCs w:val="32"/>
          <w:lang w:eastAsia="zh-CN"/>
        </w:rPr>
        <w:t>未经许可从事食品经营活动</w:t>
      </w:r>
      <w:r>
        <w:rPr>
          <w:rFonts w:hint="eastAsia" w:ascii="仿宋_GB2312" w:hAnsi="仿宋_GB2312" w:eastAsia="仿宋_GB2312" w:cs="仿宋_GB2312"/>
          <w:color w:val="auto"/>
          <w:sz w:val="32"/>
          <w:szCs w:val="32"/>
          <w:highlight w:val="none"/>
          <w:lang w:eastAsia="zh-CN"/>
        </w:rPr>
        <w:t>的行为</w:t>
      </w:r>
      <w:r>
        <w:rPr>
          <w:rFonts w:hint="eastAsia" w:ascii="仿宋_GB2312" w:hAnsi="仿宋_GB2312" w:eastAsia="仿宋_GB2312" w:cs="仿宋_GB2312"/>
          <w:b w:val="0"/>
          <w:bCs w:val="0"/>
          <w:color w:val="auto"/>
          <w:sz w:val="32"/>
          <w:szCs w:val="32"/>
          <w:highlight w:val="none"/>
          <w:lang w:val="en-US" w:eastAsia="zh-CN"/>
        </w:rPr>
        <w:t>，依据</w:t>
      </w:r>
      <w:r>
        <w:rPr>
          <w:rFonts w:hint="eastAsia" w:ascii="仿宋_GB2312" w:hAnsi="仿宋_GB2312" w:eastAsia="仿宋_GB2312" w:cs="仿宋_GB2312"/>
          <w:bCs/>
          <w:color w:val="auto"/>
          <w:sz w:val="32"/>
          <w:szCs w:val="32"/>
          <w:u w:val="none"/>
          <w:lang w:val="en-US" w:eastAsia="zh-CN"/>
        </w:rPr>
        <w:t>《中华人民共和国食品安全法》第一百二十二条第一款“违反本法规定，未取得食品生产经营许可从事食品生产经营活动，或者未取得食品添加剂生产许可从事食品添加剂生产活动的，由县级以上人民政府食品安全监督管理部门没收违法所得和违法生产经营的食品、食品添加剂以及用于违法生产经营的工具、设备、原料等物品；违法生产经营的食品、食品添加剂货值金额不足一万元的，并处五万元以上十万元以下罚款；货值金额一万元以上的，并处货值金额十倍以上二十倍以下罚款”及</w:t>
      </w:r>
      <w:r>
        <w:rPr>
          <w:rFonts w:hint="eastAsia" w:ascii="仿宋_GB2312" w:hAnsi="仿宋_GB2312" w:eastAsia="仿宋_GB2312" w:cs="仿宋_GB2312"/>
          <w:b w:val="0"/>
          <w:bCs w:val="0"/>
          <w:color w:val="auto"/>
          <w:sz w:val="32"/>
          <w:szCs w:val="32"/>
          <w:highlight w:val="none"/>
          <w:lang w:val="en-US" w:eastAsia="zh-CN"/>
        </w:rPr>
        <w:t>《中华人民共和国行政处罚法》第二十八条</w:t>
      </w:r>
      <w:r>
        <w:rPr>
          <w:rFonts w:hint="eastAsia" w:ascii="仿宋_GB2312" w:hAnsi="仿宋_GB2312" w:eastAsia="仿宋_GB2312" w:cs="仿宋_GB2312"/>
          <w:color w:val="auto"/>
          <w:sz w:val="32"/>
          <w:szCs w:val="32"/>
          <w:lang w:val="en-US" w:eastAsia="zh-CN"/>
        </w:rPr>
        <w:t>第一款</w:t>
      </w:r>
      <w:r>
        <w:rPr>
          <w:rFonts w:hint="eastAsia" w:ascii="仿宋_GB2312" w:hAnsi="仿宋_GB2312" w:eastAsia="仿宋_GB2312" w:cs="仿宋_GB2312"/>
          <w:b w:val="0"/>
          <w:bCs w:val="0"/>
          <w:color w:val="auto"/>
          <w:sz w:val="32"/>
          <w:szCs w:val="32"/>
          <w:highlight w:val="none"/>
          <w:lang w:val="en-US" w:eastAsia="zh-CN"/>
        </w:rPr>
        <w:t>“行政机关实施行政处罚时，应当责令当事人改正或者限期改正违法行为”的规定，我局决定责令当事人立即改正该违法行为，并给予当事人没收违法所得</w:t>
      </w:r>
      <w:r>
        <w:rPr>
          <w:rFonts w:hint="eastAsia" w:ascii="仿宋_GB2312" w:hAnsi="仿宋_GB2312" w:eastAsia="仿宋_GB2312" w:cs="仿宋_GB2312"/>
          <w:b w:val="0"/>
          <w:bCs w:val="0"/>
          <w:strike w:val="0"/>
          <w:dstrike w:val="0"/>
          <w:color w:val="auto"/>
          <w:sz w:val="32"/>
          <w:szCs w:val="32"/>
          <w:u w:val="none"/>
          <w:lang w:val="en-US" w:eastAsia="zh-CN"/>
        </w:rPr>
        <w:t>2970.6元、</w:t>
      </w:r>
      <w:r>
        <w:rPr>
          <w:rFonts w:hint="eastAsia" w:ascii="仿宋_GB2312" w:hAnsi="仿宋_GB2312" w:eastAsia="仿宋_GB2312" w:cs="仿宋_GB2312"/>
          <w:b w:val="0"/>
          <w:bCs w:val="0"/>
          <w:color w:val="auto"/>
          <w:sz w:val="32"/>
          <w:szCs w:val="32"/>
          <w:highlight w:val="none"/>
          <w:lang w:val="en-US" w:eastAsia="zh-CN"/>
        </w:rPr>
        <w:t>罚款3000元的行政处罚。</w:t>
      </w:r>
    </w:p>
    <w:p w14:paraId="4B90D39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40" w:firstLineChars="200"/>
        <w:jc w:val="left"/>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b w:val="0"/>
          <w:bCs w:val="0"/>
          <w:color w:val="auto"/>
          <w:sz w:val="32"/>
          <w:szCs w:val="32"/>
          <w:highlight w:val="none"/>
          <w:lang w:val="en-US" w:eastAsia="zh-CN"/>
        </w:rPr>
        <w:t>对于当事人</w:t>
      </w:r>
      <w:r>
        <w:rPr>
          <w:rFonts w:hint="eastAsia" w:ascii="仿宋_GB2312" w:hAnsi="仿宋_GB2312" w:eastAsia="仿宋_GB2312" w:cs="仿宋_GB2312"/>
          <w:color w:val="auto"/>
          <w:sz w:val="32"/>
          <w:szCs w:val="32"/>
          <w:u w:val="none"/>
          <w:lang w:val="en-US" w:eastAsia="zh-CN"/>
        </w:rPr>
        <w:t>未按规定申请变更登记的行为，依据《中华人民共和国市场主体登记管理条例》第四十六条“市场主体未依照本条例办理变更登记的，由登记机关责令改正；拒不改正的，处1万元以上10万元以下的罚款；情节严重的，吊销营业执照。”的规定，我局决定责令当事人立即改正该违法行为。</w:t>
      </w:r>
    </w:p>
    <w:p w14:paraId="6F12EEE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40" w:firstLineChars="200"/>
        <w:jc w:val="left"/>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综上，我局决定责令当事人立即改正上述违法行为，并给予当事人以下行政处罚：</w:t>
      </w:r>
    </w:p>
    <w:p w14:paraId="4B706639">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right="0" w:rightChars="0" w:firstLine="640" w:firstLineChars="200"/>
        <w:jc w:val="left"/>
        <w:textAlignment w:val="auto"/>
        <w:rPr>
          <w:rFonts w:hint="eastAsia" w:ascii="仿宋_GB2312" w:hAnsi="仿宋_GB2312" w:eastAsia="仿宋_GB2312" w:cs="仿宋_GB2312"/>
          <w:b w:val="0"/>
          <w:bCs w:val="0"/>
          <w:strike w:val="0"/>
          <w:dstrike w:val="0"/>
          <w:color w:val="auto"/>
          <w:sz w:val="32"/>
          <w:szCs w:val="32"/>
          <w:u w:val="none"/>
          <w:lang w:val="en-US" w:eastAsia="zh-CN"/>
        </w:rPr>
      </w:pPr>
      <w:r>
        <w:rPr>
          <w:rFonts w:hint="eastAsia" w:ascii="仿宋_GB2312" w:hAnsi="仿宋_GB2312" w:eastAsia="仿宋_GB2312" w:cs="仿宋_GB2312"/>
          <w:b w:val="0"/>
          <w:bCs w:val="0"/>
          <w:color w:val="auto"/>
          <w:sz w:val="32"/>
          <w:szCs w:val="32"/>
          <w:highlight w:val="none"/>
          <w:lang w:val="en-US" w:eastAsia="zh-CN"/>
        </w:rPr>
        <w:t>没收违法所得</w:t>
      </w:r>
      <w:r>
        <w:rPr>
          <w:rFonts w:hint="eastAsia" w:ascii="仿宋_GB2312" w:hAnsi="仿宋_GB2312" w:eastAsia="仿宋_GB2312" w:cs="仿宋_GB2312"/>
          <w:b w:val="0"/>
          <w:bCs w:val="0"/>
          <w:strike w:val="0"/>
          <w:dstrike w:val="0"/>
          <w:color w:val="auto"/>
          <w:sz w:val="32"/>
          <w:szCs w:val="32"/>
          <w:u w:val="none"/>
          <w:lang w:val="en-US" w:eastAsia="zh-CN"/>
        </w:rPr>
        <w:t>2970.6元；</w:t>
      </w:r>
    </w:p>
    <w:p w14:paraId="35187FDA">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right="0" w:rightChars="0" w:firstLine="640" w:firstLineChars="200"/>
        <w:jc w:val="left"/>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罚款3000元。</w:t>
      </w:r>
    </w:p>
    <w:p w14:paraId="0B010A4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jc w:val="left"/>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 xml:space="preserve">    上述罚没款合计金额5970.6元。</w:t>
      </w:r>
    </w:p>
    <w:p w14:paraId="37E91A98">
      <w:pPr>
        <w:pStyle w:val="15"/>
        <w:keepNext w:val="0"/>
        <w:keepLines w:val="0"/>
        <w:pageBreakBefore w:val="0"/>
        <w:kinsoku/>
        <w:wordWrap/>
        <w:overflowPunct/>
        <w:topLinePunct w:val="0"/>
        <w:bidi w:val="0"/>
        <w:snapToGrid/>
        <w:spacing w:line="520" w:lineRule="exact"/>
        <w:ind w:firstLine="640" w:firstLineChars="200"/>
        <w:rPr>
          <w:rFonts w:hint="eastAsia" w:ascii="仿宋_GB2312" w:hAnsi="仿宋_GB2312" w:eastAsia="仿宋_GB2312" w:cs="仿宋_GB2312"/>
          <w:bCs/>
          <w:strike w:val="0"/>
          <w:dstrike w:val="0"/>
          <w:color w:val="auto"/>
          <w:sz w:val="32"/>
          <w:szCs w:val="32"/>
          <w:lang w:val="en-US" w:eastAsia="zh-CN"/>
        </w:rPr>
      </w:pPr>
      <w:r>
        <w:rPr>
          <w:rFonts w:hint="eastAsia" w:ascii="仿宋_GB2312" w:hAnsi="仿宋_GB2312" w:eastAsia="仿宋_GB2312" w:cs="仿宋_GB2312"/>
          <w:color w:val="auto"/>
          <w:sz w:val="32"/>
          <w:szCs w:val="32"/>
          <w:u w:val="none"/>
        </w:rPr>
        <w:t>当事人应当自收到本行政处罚决定书之日起十五日内，凭《广西壮族自治区非税收入电子缴款通知书》到中国建设银行</w:t>
      </w:r>
      <w:r>
        <w:rPr>
          <w:rFonts w:hint="eastAsia" w:ascii="仿宋_GB2312" w:hAnsi="Times New Roman" w:eastAsia="仿宋_GB2312" w:cs="Times New Roman"/>
          <w:color w:val="auto"/>
          <w:sz w:val="32"/>
          <w:szCs w:val="32"/>
          <w:highlight w:val="none"/>
          <w:u w:val="none"/>
          <w:lang w:val="en-US" w:eastAsia="zh-CN"/>
        </w:rPr>
        <w:t>或柳州银行缴纳上述款项（附言备注20位缴款通知书编号）</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eastAsia="zh-CN"/>
        </w:rPr>
        <w:t>逾</w:t>
      </w:r>
      <w:r>
        <w:rPr>
          <w:rFonts w:hint="eastAsia" w:ascii="仿宋_GB2312" w:hAnsi="仿宋_GB2312" w:eastAsia="仿宋_GB2312" w:cs="仿宋_GB2312"/>
          <w:color w:val="auto"/>
          <w:sz w:val="32"/>
          <w:szCs w:val="32"/>
          <w:u w:val="none"/>
        </w:rPr>
        <w:t>期不缴纳</w:t>
      </w:r>
      <w:r>
        <w:rPr>
          <w:rFonts w:hint="eastAsia" w:hAnsi="仿宋_GB2312" w:cs="仿宋_GB2312"/>
          <w:color w:val="auto"/>
          <w:sz w:val="32"/>
          <w:szCs w:val="32"/>
          <w:u w:val="none"/>
          <w:lang w:eastAsia="zh-CN"/>
        </w:rPr>
        <w:t>罚款</w:t>
      </w:r>
      <w:r>
        <w:rPr>
          <w:rFonts w:hint="eastAsia" w:ascii="仿宋_GB2312" w:hAnsi="仿宋_GB2312" w:eastAsia="仿宋_GB2312" w:cs="仿宋_GB2312"/>
          <w:color w:val="auto"/>
          <w:sz w:val="32"/>
          <w:szCs w:val="32"/>
          <w:u w:val="none"/>
        </w:rPr>
        <w:t>的，依据《中华人民共和国行政处罚法》</w:t>
      </w:r>
      <w:r>
        <w:rPr>
          <w:rFonts w:hint="eastAsia" w:ascii="仿宋_GB2312" w:hAnsi="仿宋_GB2312" w:eastAsia="仿宋_GB2312" w:cs="仿宋_GB2312"/>
          <w:color w:val="auto"/>
          <w:kern w:val="0"/>
          <w:sz w:val="32"/>
          <w:szCs w:val="32"/>
          <w:u w:val="none"/>
          <w:lang w:val="en-US" w:eastAsia="zh-CN" w:bidi="ar"/>
        </w:rPr>
        <w:t>第七十二条</w:t>
      </w:r>
      <w:r>
        <w:rPr>
          <w:rFonts w:hint="eastAsia" w:ascii="仿宋_GB2312" w:hAnsi="仿宋_GB2312" w:eastAsia="仿宋_GB2312" w:cs="仿宋_GB2312"/>
          <w:color w:val="auto"/>
          <w:sz w:val="32"/>
          <w:szCs w:val="32"/>
          <w:u w:val="none"/>
        </w:rPr>
        <w:t>的规定，我局将</w:t>
      </w:r>
      <w:r>
        <w:rPr>
          <w:rFonts w:hint="eastAsia" w:ascii="仿宋_GB2312" w:hAnsi="仿宋_GB2312" w:eastAsia="仿宋_GB2312" w:cs="仿宋_GB2312"/>
          <w:bCs/>
          <w:color w:val="auto"/>
          <w:sz w:val="32"/>
          <w:szCs w:val="32"/>
          <w:u w:val="none"/>
        </w:rPr>
        <w:t>每日按罚款数额的百分之三加处罚款，并</w:t>
      </w:r>
      <w:r>
        <w:rPr>
          <w:rFonts w:hint="eastAsia" w:ascii="仿宋_GB2312" w:hAnsi="仿宋_GB2312" w:eastAsia="仿宋_GB2312" w:cs="仿宋_GB2312"/>
          <w:color w:val="auto"/>
          <w:sz w:val="32"/>
          <w:szCs w:val="32"/>
          <w:u w:val="none"/>
        </w:rPr>
        <w:t>依法申请人民法院强制执行</w:t>
      </w:r>
      <w:r>
        <w:rPr>
          <w:rFonts w:hint="eastAsia" w:hAnsi="仿宋_GB2312" w:cs="仿宋_GB2312"/>
          <w:color w:val="auto"/>
          <w:sz w:val="32"/>
          <w:szCs w:val="32"/>
          <w:u w:val="none"/>
          <w:lang w:eastAsia="zh-CN"/>
        </w:rPr>
        <w:t>。</w:t>
      </w:r>
    </w:p>
    <w:p w14:paraId="7E191714">
      <w:pPr>
        <w:pStyle w:val="15"/>
        <w:keepNext w:val="0"/>
        <w:keepLines w:val="0"/>
        <w:pageBreakBefore w:val="0"/>
        <w:widowControl w:val="0"/>
        <w:kinsoku/>
        <w:wordWrap/>
        <w:overflowPunct/>
        <w:topLinePunct w:val="0"/>
        <w:bidi w:val="0"/>
        <w:snapToGrid/>
        <w:spacing w:line="520" w:lineRule="exact"/>
        <w:ind w:left="0" w:leftChars="0"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Cs/>
          <w:color w:val="auto"/>
          <w:sz w:val="32"/>
          <w:szCs w:val="32"/>
          <w:u w:val="none" w:color="auto"/>
          <w:lang w:val="en-US" w:eastAsia="zh-CN"/>
        </w:rPr>
        <w:t>当事人如不服本行政处罚决定，可以在接到本行政处罚决定书之日起六十日内向柳州市柳北区人民政府申请行政复议；也可以在六个月内依法向柳州市柳南区人民法院提起行政诉讼。申请行政复议或者提起行政诉讼期间，行政处罚不停止执行。</w:t>
      </w:r>
    </w:p>
    <w:p w14:paraId="63F50276">
      <w:pPr>
        <w:pStyle w:val="15"/>
        <w:keepNext w:val="0"/>
        <w:keepLines w:val="0"/>
        <w:pageBreakBefore w:val="0"/>
        <w:widowControl w:val="0"/>
        <w:kinsoku/>
        <w:wordWrap/>
        <w:overflowPunct/>
        <w:topLinePunct w:val="0"/>
        <w:bidi w:val="0"/>
        <w:snapToGrid/>
        <w:spacing w:line="520" w:lineRule="exact"/>
        <w:ind w:left="0" w:leftChars="0"/>
        <w:rPr>
          <w:rFonts w:hint="eastAsia"/>
          <w:color w:val="auto"/>
          <w:lang w:val="en-US" w:eastAsia="zh-CN"/>
        </w:rPr>
      </w:pPr>
    </w:p>
    <w:p w14:paraId="7C65ABB9">
      <w:pPr>
        <w:pStyle w:val="15"/>
        <w:keepNext w:val="0"/>
        <w:keepLines w:val="0"/>
        <w:pageBreakBefore w:val="0"/>
        <w:widowControl w:val="0"/>
        <w:kinsoku/>
        <w:wordWrap/>
        <w:overflowPunct/>
        <w:topLinePunct w:val="0"/>
        <w:bidi w:val="0"/>
        <w:snapToGrid/>
        <w:spacing w:line="520" w:lineRule="exact"/>
        <w:ind w:left="0" w:leftChars="0"/>
        <w:rPr>
          <w:rFonts w:hint="eastAsia"/>
          <w:color w:val="auto"/>
          <w:lang w:val="en-US" w:eastAsia="zh-CN"/>
        </w:rPr>
      </w:pPr>
    </w:p>
    <w:p w14:paraId="54F8AC98">
      <w:pPr>
        <w:keepNext w:val="0"/>
        <w:keepLines w:val="0"/>
        <w:pageBreakBefore w:val="0"/>
        <w:widowControl w:val="0"/>
        <w:kinsoku/>
        <w:wordWrap/>
        <w:overflowPunct/>
        <w:topLinePunct w:val="0"/>
        <w:autoSpaceDE/>
        <w:autoSpaceDN/>
        <w:bidi w:val="0"/>
        <w:snapToGrid/>
        <w:spacing w:line="520" w:lineRule="exact"/>
        <w:ind w:firstLine="4480" w:firstLineChars="1400"/>
        <w:jc w:val="left"/>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lang w:eastAsia="zh-CN"/>
        </w:rPr>
        <w:t>柳州市柳北区市场监督管理局</w:t>
      </w:r>
    </w:p>
    <w:p w14:paraId="7663C45C">
      <w:pPr>
        <w:keepNext w:val="0"/>
        <w:keepLines w:val="0"/>
        <w:pageBreakBefore w:val="0"/>
        <w:widowControl w:val="0"/>
        <w:kinsoku/>
        <w:wordWrap/>
        <w:overflowPunct/>
        <w:topLinePunct w:val="0"/>
        <w:autoSpaceDE/>
        <w:autoSpaceDN/>
        <w:bidi w:val="0"/>
        <w:snapToGrid/>
        <w:spacing w:line="520" w:lineRule="exact"/>
        <w:ind w:firstLine="640" w:firstLineChars="200"/>
        <w:jc w:val="left"/>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lang w:eastAsia="zh-CN"/>
        </w:rPr>
        <w:t xml:space="preserve">                         </w:t>
      </w:r>
      <w:bookmarkStart w:id="0" w:name="_GoBack"/>
      <w:bookmarkEnd w:id="0"/>
      <w:r>
        <w:rPr>
          <w:rFonts w:hint="eastAsia" w:ascii="仿宋_GB2312" w:hAnsi="仿宋_GB2312" w:eastAsia="仿宋_GB2312" w:cs="仿宋_GB2312"/>
          <w:color w:val="auto"/>
          <w:sz w:val="32"/>
          <w:szCs w:val="32"/>
          <w:u w:val="none"/>
          <w:lang w:eastAsia="zh-CN"/>
        </w:rPr>
        <w:t xml:space="preserve">   </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color w:val="auto"/>
          <w:sz w:val="32"/>
          <w:szCs w:val="32"/>
          <w:u w:val="none"/>
          <w:lang w:eastAsia="zh-CN"/>
        </w:rPr>
        <w:t>202</w:t>
      </w:r>
      <w:r>
        <w:rPr>
          <w:rFonts w:hint="eastAsia" w:ascii="仿宋_GB2312" w:hAnsi="仿宋_GB2312" w:eastAsia="仿宋_GB2312" w:cs="仿宋_GB2312"/>
          <w:color w:val="auto"/>
          <w:sz w:val="32"/>
          <w:szCs w:val="32"/>
          <w:u w:val="none"/>
          <w:lang w:val="en-US" w:eastAsia="zh-CN"/>
        </w:rPr>
        <w:t>6</w:t>
      </w:r>
      <w:r>
        <w:rPr>
          <w:rFonts w:hint="eastAsia" w:ascii="仿宋_GB2312" w:hAnsi="仿宋_GB2312" w:eastAsia="仿宋_GB2312" w:cs="仿宋_GB2312"/>
          <w:color w:val="auto"/>
          <w:sz w:val="32"/>
          <w:szCs w:val="32"/>
          <w:u w:val="none"/>
          <w:lang w:eastAsia="zh-CN"/>
        </w:rPr>
        <w:t>年</w:t>
      </w:r>
      <w:r>
        <w:rPr>
          <w:rFonts w:hint="eastAsia" w:ascii="仿宋_GB2312" w:hAnsi="仿宋_GB2312" w:eastAsia="仿宋_GB2312" w:cs="仿宋_GB2312"/>
          <w:color w:val="auto"/>
          <w:sz w:val="32"/>
          <w:szCs w:val="32"/>
          <w:u w:val="none"/>
          <w:lang w:val="en-US" w:eastAsia="zh-CN"/>
        </w:rPr>
        <w:t>9</w:t>
      </w:r>
      <w:r>
        <w:rPr>
          <w:rFonts w:hint="eastAsia" w:ascii="仿宋_GB2312" w:hAnsi="仿宋_GB2312" w:eastAsia="仿宋_GB2312" w:cs="仿宋_GB2312"/>
          <w:color w:val="auto"/>
          <w:sz w:val="32"/>
          <w:szCs w:val="32"/>
          <w:u w:val="none"/>
          <w:lang w:eastAsia="zh-CN"/>
        </w:rPr>
        <w:t>月</w:t>
      </w:r>
      <w:r>
        <w:rPr>
          <w:rFonts w:hint="eastAsia" w:ascii="仿宋_GB2312" w:hAnsi="仿宋_GB2312" w:eastAsia="仿宋_GB2312" w:cs="仿宋_GB2312"/>
          <w:color w:val="auto"/>
          <w:sz w:val="32"/>
          <w:szCs w:val="32"/>
          <w:u w:val="none"/>
          <w:lang w:val="en-US" w:eastAsia="zh-CN"/>
        </w:rPr>
        <w:t>2</w:t>
      </w:r>
      <w:r>
        <w:rPr>
          <w:rFonts w:hint="eastAsia" w:ascii="仿宋_GB2312" w:hAnsi="仿宋_GB2312" w:eastAsia="仿宋_GB2312" w:cs="仿宋_GB2312"/>
          <w:color w:val="auto"/>
          <w:sz w:val="32"/>
          <w:szCs w:val="32"/>
          <w:u w:val="none"/>
          <w:lang w:eastAsia="zh-CN"/>
        </w:rPr>
        <w:t>日</w:t>
      </w:r>
    </w:p>
    <w:p w14:paraId="52B10025">
      <w:pPr>
        <w:keepNext w:val="0"/>
        <w:keepLines w:val="0"/>
        <w:pageBreakBefore w:val="0"/>
        <w:widowControl w:val="0"/>
        <w:kinsoku/>
        <w:wordWrap/>
        <w:overflowPunct/>
        <w:topLinePunct w:val="0"/>
        <w:autoSpaceDE/>
        <w:autoSpaceDN/>
        <w:bidi w:val="0"/>
        <w:snapToGrid/>
        <w:spacing w:line="520" w:lineRule="exact"/>
        <w:ind w:firstLine="640" w:firstLineChars="200"/>
        <w:jc w:val="left"/>
        <w:rPr>
          <w:rFonts w:hint="eastAsia" w:ascii="仿宋_GB2312" w:hAnsi="仿宋_GB2312" w:eastAsia="仿宋_GB2312" w:cs="仿宋_GB2312"/>
          <w:color w:val="auto"/>
          <w:sz w:val="32"/>
          <w:szCs w:val="32"/>
          <w:u w:val="none"/>
          <w:lang w:eastAsia="zh-CN"/>
        </w:rPr>
      </w:pPr>
    </w:p>
    <w:p w14:paraId="63EE58BC">
      <w:pPr>
        <w:pStyle w:val="15"/>
        <w:keepNext w:val="0"/>
        <w:keepLines w:val="0"/>
        <w:pageBreakBefore w:val="0"/>
        <w:kinsoku/>
        <w:wordWrap/>
        <w:overflowPunct/>
        <w:topLinePunct w:val="0"/>
        <w:bidi w:val="0"/>
        <w:snapToGrid/>
        <w:spacing w:line="520" w:lineRule="exact"/>
        <w:rPr>
          <w:rFonts w:hint="eastAsia" w:ascii="仿宋_GB2312" w:hAnsi="仿宋_GB2312" w:eastAsia="仿宋_GB2312" w:cs="仿宋_GB2312"/>
          <w:color w:val="auto"/>
          <w:sz w:val="32"/>
          <w:szCs w:val="32"/>
        </w:rPr>
      </w:pPr>
    </w:p>
    <w:p w14:paraId="6FBDA973">
      <w:pPr>
        <w:keepNext w:val="0"/>
        <w:keepLines w:val="0"/>
        <w:pageBreakBefore w:val="0"/>
        <w:widowControl w:val="0"/>
        <w:kinsoku/>
        <w:wordWrap/>
        <w:overflowPunct/>
        <w:topLinePunct w:val="0"/>
        <w:autoSpaceDE/>
        <w:autoSpaceDN/>
        <w:bidi w:val="0"/>
        <w:adjustRightInd/>
        <w:snapToGrid/>
        <w:spacing w:line="480" w:lineRule="exact"/>
        <w:ind w:left="0" w:leftChars="0" w:right="-105" w:rightChars="-50"/>
        <w:jc w:val="both"/>
        <w:textAlignment w:val="auto"/>
        <w:outlineLvl w:val="9"/>
        <w:rPr>
          <w:rFonts w:hint="eastAsia" w:ascii="仿宋_GB2312" w:hAnsi="仿宋_GB2312" w:eastAsia="仿宋_GB2312" w:cs="仿宋_GB2312"/>
          <w:color w:val="auto"/>
          <w:sz w:val="32"/>
          <w:szCs w:val="32"/>
          <w:lang w:eastAsia="zh-CN"/>
        </w:rPr>
      </w:pPr>
      <w:r>
        <w:rPr>
          <w:rFonts w:hint="eastAsia" w:ascii="黑体" w:hAnsi="黑体" w:eastAsia="黑体" w:cs="黑体"/>
          <w:b w:val="0"/>
          <w:bCs w:val="0"/>
          <w:color w:val="auto"/>
          <w:w w:val="98"/>
          <w:sz w:val="32"/>
          <w:szCs w:val="32"/>
          <w:lang w:eastAsia="zh-CN"/>
        </w:rPr>
        <w:t>（市场监督管理部门将依法向社会公开行政处罚决定信息）</w:t>
      </w:r>
    </w:p>
    <w:p w14:paraId="115B875E">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default" w:ascii="仿宋_GB2312" w:hAnsi="仿宋_GB2312" w:eastAsia="仿宋_GB2312" w:cs="仿宋_GB2312"/>
          <w:b w:val="0"/>
          <w:bCs w:val="0"/>
          <w:color w:val="auto"/>
          <w:sz w:val="32"/>
          <w:szCs w:val="32"/>
          <w:lang w:val="en-US"/>
        </w:rPr>
      </w:pPr>
      <w:r>
        <w:rPr>
          <w:color w:val="auto"/>
          <w:sz w:val="32"/>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75565</wp:posOffset>
                </wp:positionV>
                <wp:extent cx="5505450" cy="635"/>
                <wp:effectExtent l="0" t="0" r="0" b="0"/>
                <wp:wrapNone/>
                <wp:docPr id="5" name="直接连接符 5"/>
                <wp:cNvGraphicFramePr/>
                <a:graphic xmlns:a="http://schemas.openxmlformats.org/drawingml/2006/main">
                  <a:graphicData uri="http://schemas.microsoft.com/office/word/2010/wordprocessingShape">
                    <wps:wsp>
                      <wps:cNvCnPr/>
                      <wps:spPr>
                        <a:xfrm>
                          <a:off x="0" y="0"/>
                          <a:ext cx="5505450"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1pt;margin-top:5.95pt;height:0.05pt;width:433.5pt;z-index:251660288;mso-width-relative:page;mso-height-relative:page;" filled="f" stroked="t" coordsize="21600,21600" o:gfxdata="UEsDBAoAAAAAAIdO4kAAAAAAAAAAAAAAAAAEAAAAZHJzL1BLAwQUAAAACACHTuJAP8A8otMAAAAH&#10;AQAADwAAAGRycy9kb3ducmV2LnhtbE2Oy07DMBBF90j8gzVIbCpqJ0hVm8bpAsiODQXEdhpPk4h4&#10;nMbuA76eYQXLOffqzik3Fz+oE02xD2whmxtQxE1wPbcW3l7ruyWomJAdDoHJwhdF2FTXVyUWLpz5&#10;hU7b1CoZ4VighS6lsdA6Nh15jPMwEku2D5PHJOfUajfhWcb9oHNjFtpjz/Khw5EeOmo+t0dvIdbv&#10;dKi/Z83MfNy3gfLD4/MTWnt7k5k1qESX9FeGX31Rh0qcduHILqrBQp5LUXC2AiXxcrESsBOQG9BV&#10;qf/7Vz9QSwMEFAAAAAgAh07iQLEiNDz8AQAA9AMAAA4AAABkcnMvZTJvRG9jLnhtbK1TzY7TMBC+&#10;I/EOlu80bSErNmq6hy3LBUEl4AGmjpNY8p88btO+BC+AxA1OHLnzNrs8BmOnW5bl0gM5OGPPzDfz&#10;fR4vrvZGs50MqJyt+Wwy5Uxa4Rplu5p//HDz7CVnGME2oJ2VNT9I5FfLp08Wg6/k3PVONzIwArFY&#10;Db7mfYy+KgoUvTSAE+elJWfrgoFI29AVTYCB0I0u5tPpRTG40PjghESk09Xo5EfEcA6ga1sl5MqJ&#10;rZE2jqhBaohECXvlkS9zt20rRXzXtigj0zUnpjGvVITsTVqL5QKqLoDvlTi2AOe08IiTAWWp6Alq&#10;BRHYNqh/oIwSwaFr40Q4U4xEsiLEYjZ9pM37HrzMXEhq9CfR8f/Bire7dWCqqXnJmQVDF373+cft&#10;p6+/fn6h9e77N1YmkQaPFcVe23U47tCvQ2K8b4NJf+LC9lnYw0lYuY9M0GFZTssXJWkuyHfxPCMW&#10;f1J9wPhaOsOSUXOtbGINFezeYKRyFHofko61ZUPNL8s5tSyARrClqyfTeKKBtsu56LRqbpTWKQND&#10;t7nWge0gjUH+EinC/SssFVkB9mNcdo0D0ktoXtmGxYMngSy9C55aMLLhTEt6RskiQKgiKH1OJJXW&#10;NiXIPKRHnknlUddkbVxzoMvZ+qC6nnSZ5Z6Th4Yhd38c3DRtD/dkP3ysy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wDyi0wAAAAcBAAAPAAAAAAAAAAEAIAAAACIAAABkcnMvZG93bnJldi54bWxQ&#10;SwECFAAUAAAACACHTuJAsSI0PPwBAAD0AwAADgAAAAAAAAABACAAAAAiAQAAZHJzL2Uyb0RvYy54&#10;bWxQSwUGAAAAAAYABgBZAQAAkAUAAAAA&#10;">
                <v:fill on="f" focussize="0,0"/>
                <v:stroke color="#000000" joinstyle="round"/>
                <v:imagedata o:title=""/>
                <o:lock v:ext="edit" aspectratio="f"/>
              </v:line>
            </w:pict>
          </mc:Fallback>
        </mc:AlternateContent>
      </w:r>
      <w:r>
        <w:rPr>
          <w:rFonts w:hint="eastAsia" w:ascii="仿宋_GB2312" w:hAnsi="仿宋_GB2312" w:eastAsia="仿宋_GB2312" w:cs="仿宋_GB2312"/>
          <w:color w:val="auto"/>
          <w:sz w:val="32"/>
          <w:szCs w:val="32"/>
          <w:lang w:eastAsia="zh-CN"/>
        </w:rPr>
        <w:t>本文书一式三份，一份送达，一份归档</w:t>
      </w:r>
      <w:r>
        <w:rPr>
          <w:rFonts w:hint="eastAsia" w:ascii="仿宋_GB2312" w:hAnsi="仿宋_GB2312" w:eastAsia="仿宋_GB2312" w:cs="仿宋_GB2312"/>
          <w:color w:val="auto"/>
          <w:sz w:val="32"/>
          <w:szCs w:val="32"/>
        </w:rPr>
        <w:t>，一份</w:t>
      </w:r>
      <w:r>
        <w:rPr>
          <w:rFonts w:hint="eastAsia" w:ascii="仿宋_GB2312" w:hAnsi="仿宋_GB2312" w:eastAsia="仿宋_GB2312" w:cs="仿宋_GB2312"/>
          <w:color w:val="auto"/>
          <w:sz w:val="32"/>
          <w:szCs w:val="32"/>
          <w:lang w:eastAsia="zh-CN"/>
        </w:rPr>
        <w:t>办案机构</w:t>
      </w:r>
      <w:r>
        <w:rPr>
          <w:rFonts w:hint="eastAsia" w:ascii="仿宋_GB2312" w:hAnsi="仿宋_GB2312" w:eastAsia="仿宋_GB2312" w:cs="仿宋_GB2312"/>
          <w:color w:val="auto"/>
          <w:sz w:val="32"/>
          <w:szCs w:val="32"/>
        </w:rPr>
        <w:t>留存</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 xml:space="preserve"> </w:t>
      </w:r>
    </w:p>
    <w:sectPr>
      <w:headerReference r:id="rId3" w:type="default"/>
      <w:footerReference r:id="rId4" w:type="default"/>
      <w:pgSz w:w="11906" w:h="16838"/>
      <w:pgMar w:top="1247" w:right="1417" w:bottom="1304" w:left="1417" w:header="851" w:footer="850"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79871">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CB72542">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页 共 </w:t>
                          </w:r>
                          <w:r>
                            <w:fldChar w:fldCharType="begin"/>
                          </w:r>
                          <w:r>
                            <w:instrText xml:space="preserve"> NUMPAGES  \* MERGEFORMAT </w:instrText>
                          </w:r>
                          <w:r>
                            <w:fldChar w:fldCharType="separate"/>
                          </w:r>
                          <w:r>
                            <w:t>3</w:t>
                          </w:r>
                          <w:r>
                            <w:fldChar w:fldCharType="end"/>
                          </w:r>
                          <w:r>
                            <w:rPr>
                              <w:rFonts w:hint="eastAsia"/>
                            </w:rPr>
                            <w:t xml:space="preserve"> 页</w:t>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5CB72542">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页 共 </w:t>
                    </w:r>
                    <w:r>
                      <w:fldChar w:fldCharType="begin"/>
                    </w:r>
                    <w:r>
                      <w:instrText xml:space="preserve"> NUMPAGES  \* MERGEFORMAT </w:instrText>
                    </w:r>
                    <w:r>
                      <w:fldChar w:fldCharType="separate"/>
                    </w:r>
                    <w:r>
                      <w:t>3</w:t>
                    </w:r>
                    <w: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39128">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87D3AD"/>
    <w:multiLevelType w:val="singleLevel"/>
    <w:tmpl w:val="1787D3A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Q5ZmI1NmM0NTFmZTU5ZDUyNjZiMTM4MjRlMDJmYTcifQ=="/>
    <w:docVar w:name="KSO_WPS_MARK_KEY" w:val="841dd4c2-fca9-4166-9264-b220990a38a4"/>
  </w:docVars>
  <w:rsids>
    <w:rsidRoot w:val="148273E2"/>
    <w:rsid w:val="000065F5"/>
    <w:rsid w:val="0004512F"/>
    <w:rsid w:val="00083C83"/>
    <w:rsid w:val="000B341C"/>
    <w:rsid w:val="001012C9"/>
    <w:rsid w:val="00142F2C"/>
    <w:rsid w:val="001C0503"/>
    <w:rsid w:val="00211B0C"/>
    <w:rsid w:val="00255EEE"/>
    <w:rsid w:val="002C2FAA"/>
    <w:rsid w:val="00357DAF"/>
    <w:rsid w:val="0036662C"/>
    <w:rsid w:val="00463B38"/>
    <w:rsid w:val="004B6721"/>
    <w:rsid w:val="00574F12"/>
    <w:rsid w:val="005E199B"/>
    <w:rsid w:val="005E309F"/>
    <w:rsid w:val="005F5BA5"/>
    <w:rsid w:val="006A6CB1"/>
    <w:rsid w:val="006C0007"/>
    <w:rsid w:val="006E7533"/>
    <w:rsid w:val="00704B12"/>
    <w:rsid w:val="0072741A"/>
    <w:rsid w:val="0074190D"/>
    <w:rsid w:val="00771A9E"/>
    <w:rsid w:val="0079623E"/>
    <w:rsid w:val="00817650"/>
    <w:rsid w:val="008739FF"/>
    <w:rsid w:val="008A0974"/>
    <w:rsid w:val="00955ECE"/>
    <w:rsid w:val="009C3AF3"/>
    <w:rsid w:val="00A62EC1"/>
    <w:rsid w:val="00B91F48"/>
    <w:rsid w:val="00BC4BAE"/>
    <w:rsid w:val="00BE07B0"/>
    <w:rsid w:val="00BE5339"/>
    <w:rsid w:val="00D05A34"/>
    <w:rsid w:val="00D82DEA"/>
    <w:rsid w:val="00D866B1"/>
    <w:rsid w:val="00DB475D"/>
    <w:rsid w:val="00DD449C"/>
    <w:rsid w:val="00DD743A"/>
    <w:rsid w:val="00E3129E"/>
    <w:rsid w:val="00EA4461"/>
    <w:rsid w:val="00F26908"/>
    <w:rsid w:val="00FC6549"/>
    <w:rsid w:val="00FD11C5"/>
    <w:rsid w:val="00FE2746"/>
    <w:rsid w:val="017862EE"/>
    <w:rsid w:val="01F12741"/>
    <w:rsid w:val="0328798D"/>
    <w:rsid w:val="04392B35"/>
    <w:rsid w:val="04751BF1"/>
    <w:rsid w:val="062A0A13"/>
    <w:rsid w:val="06F651DB"/>
    <w:rsid w:val="06FA6137"/>
    <w:rsid w:val="074B4BDE"/>
    <w:rsid w:val="07C95455"/>
    <w:rsid w:val="08E602F7"/>
    <w:rsid w:val="09611CF3"/>
    <w:rsid w:val="0B57161B"/>
    <w:rsid w:val="0CB213C1"/>
    <w:rsid w:val="0CB74E19"/>
    <w:rsid w:val="0CF872FB"/>
    <w:rsid w:val="0D452123"/>
    <w:rsid w:val="0D6177ED"/>
    <w:rsid w:val="0DA71FDE"/>
    <w:rsid w:val="0DBF10BD"/>
    <w:rsid w:val="0E803A75"/>
    <w:rsid w:val="0F7605E9"/>
    <w:rsid w:val="113B479A"/>
    <w:rsid w:val="117B63A4"/>
    <w:rsid w:val="11BD5D75"/>
    <w:rsid w:val="134617C9"/>
    <w:rsid w:val="139C16B0"/>
    <w:rsid w:val="13F30D47"/>
    <w:rsid w:val="14277F1E"/>
    <w:rsid w:val="1473140B"/>
    <w:rsid w:val="148273E2"/>
    <w:rsid w:val="1595472F"/>
    <w:rsid w:val="15AA17EA"/>
    <w:rsid w:val="169C3433"/>
    <w:rsid w:val="17E1120B"/>
    <w:rsid w:val="184F057B"/>
    <w:rsid w:val="186B5DC5"/>
    <w:rsid w:val="18EF05CB"/>
    <w:rsid w:val="1A745652"/>
    <w:rsid w:val="1AA55913"/>
    <w:rsid w:val="1AAB7A25"/>
    <w:rsid w:val="1B8A02C6"/>
    <w:rsid w:val="1C0F2E75"/>
    <w:rsid w:val="1C191BC6"/>
    <w:rsid w:val="1C220723"/>
    <w:rsid w:val="1CB15DE2"/>
    <w:rsid w:val="1E376B1E"/>
    <w:rsid w:val="1EB96323"/>
    <w:rsid w:val="1F352136"/>
    <w:rsid w:val="1F3603BC"/>
    <w:rsid w:val="1F3E2D68"/>
    <w:rsid w:val="1F4D1EE3"/>
    <w:rsid w:val="1F9E445E"/>
    <w:rsid w:val="1FED1911"/>
    <w:rsid w:val="20125CE0"/>
    <w:rsid w:val="20154E0E"/>
    <w:rsid w:val="208244E5"/>
    <w:rsid w:val="209122D7"/>
    <w:rsid w:val="2103322C"/>
    <w:rsid w:val="23383DAC"/>
    <w:rsid w:val="23E34743"/>
    <w:rsid w:val="24E55852"/>
    <w:rsid w:val="255D34FA"/>
    <w:rsid w:val="25912C02"/>
    <w:rsid w:val="26603C6E"/>
    <w:rsid w:val="26A36964"/>
    <w:rsid w:val="26B87CE7"/>
    <w:rsid w:val="27D00EE0"/>
    <w:rsid w:val="27D34EBD"/>
    <w:rsid w:val="2941559E"/>
    <w:rsid w:val="29581DDE"/>
    <w:rsid w:val="297B6BA3"/>
    <w:rsid w:val="299E6AAB"/>
    <w:rsid w:val="29A4154C"/>
    <w:rsid w:val="2A7A5040"/>
    <w:rsid w:val="2AFD6B9E"/>
    <w:rsid w:val="2B155476"/>
    <w:rsid w:val="2B157B4F"/>
    <w:rsid w:val="2B424F07"/>
    <w:rsid w:val="2C13787F"/>
    <w:rsid w:val="2C421DD7"/>
    <w:rsid w:val="2C7F6960"/>
    <w:rsid w:val="2CA70D16"/>
    <w:rsid w:val="2CF1764D"/>
    <w:rsid w:val="2D002F4F"/>
    <w:rsid w:val="2D1C6BF7"/>
    <w:rsid w:val="2E6F5DB2"/>
    <w:rsid w:val="30BD5513"/>
    <w:rsid w:val="30E338A2"/>
    <w:rsid w:val="31091780"/>
    <w:rsid w:val="31DC529A"/>
    <w:rsid w:val="323E5D53"/>
    <w:rsid w:val="34243D12"/>
    <w:rsid w:val="35FC3C1B"/>
    <w:rsid w:val="371F7D71"/>
    <w:rsid w:val="37EF7C5B"/>
    <w:rsid w:val="390D0746"/>
    <w:rsid w:val="39794D00"/>
    <w:rsid w:val="3A782F8A"/>
    <w:rsid w:val="3C297ADF"/>
    <w:rsid w:val="3DE333C0"/>
    <w:rsid w:val="3DE843F8"/>
    <w:rsid w:val="3E376AA4"/>
    <w:rsid w:val="3E5354C4"/>
    <w:rsid w:val="3EBB37DF"/>
    <w:rsid w:val="3F2A4B8B"/>
    <w:rsid w:val="403D16C2"/>
    <w:rsid w:val="4151243D"/>
    <w:rsid w:val="41711ECE"/>
    <w:rsid w:val="41DF1A8D"/>
    <w:rsid w:val="4257288A"/>
    <w:rsid w:val="433340CF"/>
    <w:rsid w:val="43FA7BFE"/>
    <w:rsid w:val="44C07632"/>
    <w:rsid w:val="451218A7"/>
    <w:rsid w:val="461F1F60"/>
    <w:rsid w:val="46943C0F"/>
    <w:rsid w:val="47EC3EAF"/>
    <w:rsid w:val="48772283"/>
    <w:rsid w:val="4A207916"/>
    <w:rsid w:val="4A4D113D"/>
    <w:rsid w:val="4C2B4DFE"/>
    <w:rsid w:val="4C3E6663"/>
    <w:rsid w:val="4DA93FB0"/>
    <w:rsid w:val="4DD5222C"/>
    <w:rsid w:val="4E6B3369"/>
    <w:rsid w:val="4EB80EAB"/>
    <w:rsid w:val="4F3E18EA"/>
    <w:rsid w:val="4F7324E1"/>
    <w:rsid w:val="4FD74F00"/>
    <w:rsid w:val="4FEB2D6E"/>
    <w:rsid w:val="503468E2"/>
    <w:rsid w:val="5151276C"/>
    <w:rsid w:val="51A716B6"/>
    <w:rsid w:val="51E62234"/>
    <w:rsid w:val="53E923EE"/>
    <w:rsid w:val="53FC7230"/>
    <w:rsid w:val="544E6F61"/>
    <w:rsid w:val="5473232C"/>
    <w:rsid w:val="549E3B5B"/>
    <w:rsid w:val="55763B22"/>
    <w:rsid w:val="55BA5430"/>
    <w:rsid w:val="56D63107"/>
    <w:rsid w:val="574B68BA"/>
    <w:rsid w:val="57B61447"/>
    <w:rsid w:val="582740A9"/>
    <w:rsid w:val="592077C9"/>
    <w:rsid w:val="597A3332"/>
    <w:rsid w:val="599F5B19"/>
    <w:rsid w:val="59DB1995"/>
    <w:rsid w:val="5A1C4013"/>
    <w:rsid w:val="5AFF3EF1"/>
    <w:rsid w:val="5B343756"/>
    <w:rsid w:val="5CBD218A"/>
    <w:rsid w:val="5CC36333"/>
    <w:rsid w:val="5D275EBF"/>
    <w:rsid w:val="5EC865B0"/>
    <w:rsid w:val="5F9F2A6C"/>
    <w:rsid w:val="60634233"/>
    <w:rsid w:val="61544F71"/>
    <w:rsid w:val="61B40B70"/>
    <w:rsid w:val="61E70572"/>
    <w:rsid w:val="637F3FE6"/>
    <w:rsid w:val="63E72995"/>
    <w:rsid w:val="657D4ABD"/>
    <w:rsid w:val="659356E0"/>
    <w:rsid w:val="65C32D01"/>
    <w:rsid w:val="67261A9A"/>
    <w:rsid w:val="67C96ED8"/>
    <w:rsid w:val="688A1A9D"/>
    <w:rsid w:val="68FF6B48"/>
    <w:rsid w:val="691D477F"/>
    <w:rsid w:val="699E35BB"/>
    <w:rsid w:val="6A014483"/>
    <w:rsid w:val="6A19339F"/>
    <w:rsid w:val="6A22066F"/>
    <w:rsid w:val="6A3A7FB1"/>
    <w:rsid w:val="6AE63EBF"/>
    <w:rsid w:val="6C0F4EEF"/>
    <w:rsid w:val="6C5808AF"/>
    <w:rsid w:val="6CE3459B"/>
    <w:rsid w:val="6EEE43BE"/>
    <w:rsid w:val="6F7B3B73"/>
    <w:rsid w:val="6F855001"/>
    <w:rsid w:val="6FB73C30"/>
    <w:rsid w:val="6FCB74A9"/>
    <w:rsid w:val="70966D10"/>
    <w:rsid w:val="70A73F1B"/>
    <w:rsid w:val="70A82C64"/>
    <w:rsid w:val="7135211F"/>
    <w:rsid w:val="71365A01"/>
    <w:rsid w:val="71A06C04"/>
    <w:rsid w:val="71F667BD"/>
    <w:rsid w:val="72175D9C"/>
    <w:rsid w:val="72A509A5"/>
    <w:rsid w:val="72D355FA"/>
    <w:rsid w:val="72D35EA9"/>
    <w:rsid w:val="73127625"/>
    <w:rsid w:val="73AA52D4"/>
    <w:rsid w:val="73DE1526"/>
    <w:rsid w:val="74BE07C3"/>
    <w:rsid w:val="74CD4654"/>
    <w:rsid w:val="77EB7D5B"/>
    <w:rsid w:val="780B0124"/>
    <w:rsid w:val="78414B3A"/>
    <w:rsid w:val="785D036F"/>
    <w:rsid w:val="787616BF"/>
    <w:rsid w:val="790C18B2"/>
    <w:rsid w:val="79714248"/>
    <w:rsid w:val="798A2050"/>
    <w:rsid w:val="79965BD7"/>
    <w:rsid w:val="7A420DE6"/>
    <w:rsid w:val="7A69737E"/>
    <w:rsid w:val="7A9F6060"/>
    <w:rsid w:val="7AB81C3A"/>
    <w:rsid w:val="7B3A48B6"/>
    <w:rsid w:val="7C0C2E6D"/>
    <w:rsid w:val="7C8232CF"/>
    <w:rsid w:val="7CCB6FCD"/>
    <w:rsid w:val="7D5C1627"/>
    <w:rsid w:val="7D85227D"/>
    <w:rsid w:val="7E635C01"/>
    <w:rsid w:val="7E662974"/>
    <w:rsid w:val="7EAF4003"/>
    <w:rsid w:val="7F9B2857"/>
    <w:rsid w:val="7FFD0F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29"/>
    <w:qFormat/>
    <w:uiPriority w:val="0"/>
    <w:pPr>
      <w:tabs>
        <w:tab w:val="center" w:pos="4153"/>
        <w:tab w:val="right" w:pos="8306"/>
      </w:tabs>
      <w:snapToGrid w:val="0"/>
      <w:jc w:val="left"/>
    </w:pPr>
    <w:rPr>
      <w:sz w:val="18"/>
      <w:szCs w:val="18"/>
    </w:rPr>
  </w:style>
  <w:style w:type="paragraph" w:styleId="3">
    <w:name w:val="header"/>
    <w:basedOn w:val="1"/>
    <w:link w:val="28"/>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style>
  <w:style w:type="character" w:styleId="8">
    <w:name w:val="FollowedHyperlink"/>
    <w:basedOn w:val="6"/>
    <w:qFormat/>
    <w:uiPriority w:val="0"/>
    <w:rPr>
      <w:color w:val="000000"/>
      <w:u w:val="none"/>
    </w:rPr>
  </w:style>
  <w:style w:type="character" w:styleId="9">
    <w:name w:val="Emphasis"/>
    <w:basedOn w:val="6"/>
    <w:qFormat/>
    <w:uiPriority w:val="0"/>
  </w:style>
  <w:style w:type="character" w:styleId="10">
    <w:name w:val="HTML Definition"/>
    <w:basedOn w:val="6"/>
    <w:qFormat/>
    <w:uiPriority w:val="0"/>
  </w:style>
  <w:style w:type="character" w:styleId="11">
    <w:name w:val="HTML Variable"/>
    <w:basedOn w:val="6"/>
    <w:qFormat/>
    <w:uiPriority w:val="0"/>
  </w:style>
  <w:style w:type="character" w:styleId="12">
    <w:name w:val="Hyperlink"/>
    <w:basedOn w:val="6"/>
    <w:qFormat/>
    <w:uiPriority w:val="0"/>
    <w:rPr>
      <w:color w:val="000000"/>
      <w:u w:val="none"/>
    </w:rPr>
  </w:style>
  <w:style w:type="character" w:styleId="13">
    <w:name w:val="HTML Code"/>
    <w:basedOn w:val="6"/>
    <w:qFormat/>
    <w:uiPriority w:val="0"/>
    <w:rPr>
      <w:rFonts w:ascii="Courier New" w:hAnsi="Courier New"/>
      <w:sz w:val="20"/>
    </w:rPr>
  </w:style>
  <w:style w:type="character" w:styleId="14">
    <w:name w:val="HTML Cite"/>
    <w:basedOn w:val="6"/>
    <w:qFormat/>
    <w:uiPriority w:val="0"/>
  </w:style>
  <w:style w:type="paragraph" w:customStyle="1" w:styleId="1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16">
    <w:name w:val="first-child"/>
    <w:basedOn w:val="6"/>
    <w:qFormat/>
    <w:uiPriority w:val="0"/>
  </w:style>
  <w:style w:type="character" w:customStyle="1" w:styleId="17">
    <w:name w:val="layui-layer-tabnow"/>
    <w:basedOn w:val="6"/>
    <w:qFormat/>
    <w:uiPriority w:val="0"/>
    <w:rPr>
      <w:bdr w:val="single" w:color="CCCCCC" w:sz="6" w:space="0"/>
      <w:shd w:val="clear" w:color="auto" w:fill="FFFFFF"/>
    </w:rPr>
  </w:style>
  <w:style w:type="character" w:customStyle="1" w:styleId="18">
    <w:name w:val="x-tab-strip-text"/>
    <w:basedOn w:val="6"/>
    <w:qFormat/>
    <w:uiPriority w:val="0"/>
    <w:rPr>
      <w:color w:val="111111"/>
    </w:rPr>
  </w:style>
  <w:style w:type="character" w:customStyle="1" w:styleId="19">
    <w:name w:val="x-tab-strip-text1"/>
    <w:basedOn w:val="6"/>
    <w:qFormat/>
    <w:uiPriority w:val="0"/>
  </w:style>
  <w:style w:type="character" w:customStyle="1" w:styleId="20">
    <w:name w:val="x-tab-strip-text2"/>
    <w:basedOn w:val="6"/>
    <w:qFormat/>
    <w:uiPriority w:val="0"/>
    <w:rPr>
      <w:rFonts w:hint="eastAsia" w:ascii="宋体" w:hAnsi="宋体" w:eastAsia="宋体" w:cs="宋体"/>
      <w:color w:val="333333"/>
      <w:sz w:val="21"/>
      <w:szCs w:val="21"/>
    </w:rPr>
  </w:style>
  <w:style w:type="character" w:customStyle="1" w:styleId="21">
    <w:name w:val="x-tab-strip-text3"/>
    <w:basedOn w:val="6"/>
    <w:qFormat/>
    <w:uiPriority w:val="0"/>
  </w:style>
  <w:style w:type="character" w:customStyle="1" w:styleId="22">
    <w:name w:val="x-tab-strip-text4"/>
    <w:basedOn w:val="6"/>
    <w:qFormat/>
    <w:uiPriority w:val="0"/>
    <w:rPr>
      <w:b/>
      <w:color w:val="15428B"/>
    </w:rPr>
  </w:style>
  <w:style w:type="character" w:customStyle="1" w:styleId="23">
    <w:name w:val="x-tab-strip-text5"/>
    <w:basedOn w:val="6"/>
    <w:qFormat/>
    <w:uiPriority w:val="0"/>
  </w:style>
  <w:style w:type="character" w:customStyle="1" w:styleId="24">
    <w:name w:val="active1"/>
    <w:basedOn w:val="6"/>
    <w:qFormat/>
    <w:uiPriority w:val="0"/>
    <w:rPr>
      <w:color w:val="00FF00"/>
      <w:shd w:val="clear" w:color="auto" w:fill="000000"/>
    </w:rPr>
  </w:style>
  <w:style w:type="character" w:customStyle="1" w:styleId="25">
    <w:name w:val="hilite6"/>
    <w:basedOn w:val="6"/>
    <w:qFormat/>
    <w:uiPriority w:val="0"/>
    <w:rPr>
      <w:color w:val="FFFFFF"/>
      <w:shd w:val="clear" w:color="auto" w:fill="886666"/>
    </w:rPr>
  </w:style>
  <w:style w:type="character" w:customStyle="1" w:styleId="26">
    <w:name w:val="active7"/>
    <w:basedOn w:val="6"/>
    <w:qFormat/>
    <w:uiPriority w:val="0"/>
    <w:rPr>
      <w:color w:val="00FF00"/>
      <w:shd w:val="clear" w:color="auto" w:fill="000000"/>
    </w:rPr>
  </w:style>
  <w:style w:type="character" w:customStyle="1" w:styleId="27">
    <w:name w:val="hilite5"/>
    <w:basedOn w:val="6"/>
    <w:qFormat/>
    <w:uiPriority w:val="0"/>
    <w:rPr>
      <w:color w:val="FFFFFF"/>
      <w:shd w:val="clear" w:color="auto" w:fill="886666"/>
    </w:rPr>
  </w:style>
  <w:style w:type="character" w:customStyle="1" w:styleId="28">
    <w:name w:val="页眉 Char"/>
    <w:basedOn w:val="6"/>
    <w:link w:val="3"/>
    <w:qFormat/>
    <w:uiPriority w:val="0"/>
    <w:rPr>
      <w:rFonts w:asciiTheme="minorHAnsi" w:hAnsiTheme="minorHAnsi" w:eastAsiaTheme="minorEastAsia" w:cstheme="minorBidi"/>
      <w:kern w:val="2"/>
      <w:sz w:val="18"/>
      <w:szCs w:val="18"/>
    </w:rPr>
  </w:style>
  <w:style w:type="character" w:customStyle="1" w:styleId="29">
    <w:name w:val="页脚 Char"/>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3064</Words>
  <Characters>3201</Characters>
  <Lines>11</Lines>
  <Paragraphs>3</Paragraphs>
  <TotalTime>11</TotalTime>
  <ScaleCrop>false</ScaleCrop>
  <LinksUpToDate>false</LinksUpToDate>
  <CharactersWithSpaces>3251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2019-06-18T07:59:00Z</dcterms:created>
  <dc:creator>Judy~</dc:creator>
  <cp:lastModifiedBy>蕃蕃</cp:lastModifiedBy>
  <cp:lastPrinted>2026-07-20T08:02:00Z</cp:lastPrinted>
  <dcterms:modified xsi:type="dcterms:W3CDTF">2026-09-03T01:51:38Z</dcterms:modified>
  <dc:title>柳州市柳北区市场监督管理局</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E5F6B50F7D3D41B0945E474ADF8A5E96_13</vt:lpwstr>
  </property>
  <property fmtid="{D5CDD505-2E9C-101B-9397-08002B2CF9AE}" pid="4" name="KSOTemplateDocerSaveRecord">
    <vt:lpwstr>eyJoZGlkIjoiNjljYzBiNmJkNjNmYjA3MDkwNzQ4ZTM5NDc1MTY5NDgiLCJ1c2VySWQiOiI5MTQwNjk2NTMifQ==</vt:lpwstr>
  </property>
</Properties>
</file>