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C0E58">
      <w:pPr>
        <w:spacing w:line="52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val="en-US" w:eastAsia="zh-CN"/>
        </w:rPr>
        <w:t xml:space="preserve">  </w:t>
      </w:r>
      <w:r>
        <w:rPr>
          <w:rFonts w:hint="eastAsia" w:ascii="方正小标宋简体" w:hAnsi="方正小标宋简体" w:eastAsia="方正小标宋简体" w:cs="方正小标宋简体"/>
          <w:color w:val="auto"/>
          <w:sz w:val="44"/>
          <w:szCs w:val="44"/>
        </w:rPr>
        <w:t>柳州市柳北区市场监督管理局</w:t>
      </w:r>
    </w:p>
    <w:p w14:paraId="07B0A73F">
      <w:pPr>
        <w:tabs>
          <w:tab w:val="left" w:pos="1649"/>
          <w:tab w:val="center" w:pos="4596"/>
        </w:tabs>
        <w:spacing w:line="520" w:lineRule="exact"/>
        <w:jc w:val="left"/>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ab/>
      </w:r>
      <w:r>
        <w:rPr>
          <w:rFonts w:hint="eastAsia" w:ascii="方正小标宋简体" w:hAnsi="方正小标宋简体" w:eastAsia="方正小标宋简体" w:cs="方正小标宋简体"/>
          <w:color w:val="auto"/>
          <w:sz w:val="44"/>
          <w:szCs w:val="44"/>
          <w:lang w:eastAsia="zh-CN"/>
        </w:rPr>
        <w:tab/>
      </w:r>
      <w:r>
        <w:rPr>
          <w:rFonts w:hint="eastAsia" w:ascii="方正小标宋简体" w:hAnsi="方正小标宋简体" w:eastAsia="方正小标宋简体" w:cs="方正小标宋简体"/>
          <w:color w:val="auto"/>
          <w:sz w:val="44"/>
          <w:szCs w:val="44"/>
        </w:rPr>
        <w:t>行政处罚决定书</w:t>
      </w:r>
    </w:p>
    <w:p w14:paraId="6AF48001">
      <w:pPr>
        <w:keepNext w:val="0"/>
        <w:keepLines w:val="0"/>
        <w:pageBreakBefore w:val="0"/>
        <w:widowControl w:val="0"/>
        <w:kinsoku/>
        <w:wordWrap/>
        <w:overflowPunct/>
        <w:topLinePunct w:val="0"/>
        <w:autoSpaceDE/>
        <w:autoSpaceDN/>
        <w:bidi w:val="0"/>
        <w:snapToGrid/>
        <w:spacing w:line="420" w:lineRule="exact"/>
        <w:ind w:left="0" w:leftChars="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柳北市监</w:t>
      </w:r>
      <w:r>
        <w:rPr>
          <w:rFonts w:hint="eastAsia" w:ascii="仿宋_GB2312" w:hAnsi="仿宋_GB2312" w:eastAsia="仿宋_GB2312" w:cs="仿宋_GB2312"/>
          <w:color w:val="auto"/>
          <w:sz w:val="32"/>
          <w:szCs w:val="32"/>
          <w:lang w:eastAsia="zh-CN"/>
        </w:rPr>
        <w:t>处</w:t>
      </w:r>
      <w:r>
        <w:rPr>
          <w:rFonts w:hint="eastAsia" w:ascii="仿宋_GB2312" w:hAnsi="仿宋_GB2312" w:eastAsia="仿宋_GB2312" w:cs="仿宋_GB2312"/>
          <w:color w:val="auto"/>
          <w:sz w:val="32"/>
          <w:szCs w:val="32"/>
        </w:rPr>
        <w:t>罚〔202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105</w:t>
      </w:r>
      <w:r>
        <w:rPr>
          <w:rFonts w:hint="eastAsia" w:ascii="仿宋_GB2312" w:hAnsi="仿宋_GB2312" w:eastAsia="仿宋_GB2312" w:cs="仿宋_GB2312"/>
          <w:color w:val="auto"/>
          <w:sz w:val="32"/>
          <w:szCs w:val="32"/>
        </w:rPr>
        <w:t>号</w:t>
      </w:r>
    </w:p>
    <w:p w14:paraId="38193302">
      <w:pPr>
        <w:keepNext w:val="0"/>
        <w:keepLines w:val="0"/>
        <w:pageBreakBefore w:val="0"/>
        <w:widowControl w:val="0"/>
        <w:kinsoku/>
        <w:wordWrap/>
        <w:overflowPunct/>
        <w:topLinePunct w:val="0"/>
        <w:autoSpaceDE/>
        <w:autoSpaceDN/>
        <w:bidi w:val="0"/>
        <w:adjustRightInd w:val="0"/>
        <w:snapToGrid/>
        <w:spacing w:line="420" w:lineRule="exact"/>
        <w:ind w:left="0" w:leftChars="0" w:right="233" w:rightChars="111"/>
        <w:textAlignment w:val="baseline"/>
        <w:rPr>
          <w:rFonts w:ascii="仿宋_GB2312" w:hAnsi="仿宋_GB2312" w:eastAsia="仿宋_GB2312" w:cs="仿宋_GB2312"/>
          <w:color w:val="auto"/>
          <w:sz w:val="32"/>
          <w:szCs w:val="32"/>
        </w:rPr>
      </w:pPr>
    </w:p>
    <w:p w14:paraId="2F8515ED">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当事人：</w:t>
      </w:r>
      <w:r>
        <w:rPr>
          <w:rFonts w:hint="default" w:ascii="仿宋_GB2312" w:hAnsi="仿宋_GB2312" w:eastAsia="仿宋_GB2312" w:cs="仿宋_GB2312"/>
          <w:color w:val="auto"/>
          <w:sz w:val="32"/>
          <w:szCs w:val="32"/>
          <w:u w:val="none" w:color="auto"/>
          <w:lang w:val="en-US" w:eastAsia="zh-CN"/>
        </w:rPr>
        <w:t>柳州市柳北区</w:t>
      </w:r>
      <w:r>
        <w:rPr>
          <w:rFonts w:hint="eastAsia" w:ascii="仿宋_GB2312" w:hAnsi="仿宋_GB2312" w:eastAsia="仿宋_GB2312" w:cs="仿宋_GB2312"/>
          <w:color w:val="auto"/>
          <w:sz w:val="32"/>
          <w:szCs w:val="32"/>
          <w:u w:val="none" w:color="auto"/>
          <w:lang w:val="en-US" w:eastAsia="zh-CN"/>
        </w:rPr>
        <w:t>平康食品经营部（个体工商户）</w:t>
      </w:r>
    </w:p>
    <w:p w14:paraId="784971C8">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 xml:space="preserve">主体资格证照名称：营业执照  </w:t>
      </w:r>
    </w:p>
    <w:p w14:paraId="06E21B2C">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Cs/>
          <w:color w:val="auto"/>
          <w:sz w:val="32"/>
          <w:szCs w:val="32"/>
          <w:u w:val="none" w:color="auto"/>
          <w:lang w:val="en-US" w:eastAsia="zh-CN"/>
        </w:rPr>
        <w:t>统一社会信用代码：</w:t>
      </w:r>
      <w:r>
        <w:rPr>
          <w:rFonts w:hint="eastAsia" w:ascii="仿宋_GB2312" w:hAnsi="仿宋_GB2312" w:eastAsia="仿宋_GB2312" w:cs="仿宋_GB2312"/>
          <w:color w:val="auto"/>
          <w:sz w:val="32"/>
          <w:szCs w:val="32"/>
          <w:lang w:val="en-US" w:eastAsia="zh-CN"/>
        </w:rPr>
        <w:t>92450205MADN9YUH3H</w:t>
      </w:r>
    </w:p>
    <w:p w14:paraId="1BA819B9">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default"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经营场所：</w:t>
      </w:r>
      <w:r>
        <w:rPr>
          <w:rFonts w:hint="eastAsia" w:ascii="仿宋_GB2312" w:hAnsi="仿宋_GB2312" w:eastAsia="仿宋_GB2312" w:cs="仿宋_GB2312"/>
          <w:color w:val="auto"/>
          <w:sz w:val="32"/>
          <w:szCs w:val="32"/>
          <w:u w:val="none" w:color="auto"/>
          <w:lang w:val="en-US" w:eastAsia="zh-CN"/>
        </w:rPr>
        <w:t>柳州市柳北区北雀路47号8栋2楼1号、2号、3号、4号、5号、18号门面</w:t>
      </w:r>
    </w:p>
    <w:p w14:paraId="0715ED3B">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color w:val="auto"/>
          <w:w w:val="100"/>
          <w:sz w:val="32"/>
          <w:szCs w:val="32"/>
          <w:u w:val="none" w:color="auto"/>
          <w:lang w:val="en-US" w:eastAsia="zh-CN"/>
        </w:rPr>
        <w:t>经营者：</w:t>
      </w:r>
      <w:r>
        <w:rPr>
          <w:rFonts w:hint="eastAsia" w:ascii="仿宋_GB2312" w:hAnsi="仿宋_GB2312" w:eastAsia="仿宋_GB2312" w:cs="仿宋_GB2312"/>
          <w:bCs/>
          <w:color w:val="auto"/>
          <w:sz w:val="32"/>
          <w:szCs w:val="32"/>
          <w:lang w:eastAsia="zh-CN"/>
        </w:rPr>
        <w:t>青奇</w:t>
      </w:r>
    </w:p>
    <w:p w14:paraId="7C463E43">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default" w:ascii="仿宋_GB2312" w:hAnsi="仿宋_GB2312" w:eastAsia="仿宋_GB2312" w:cs="仿宋_GB2312"/>
          <w:bCs/>
          <w:color w:val="auto"/>
          <w:w w:val="100"/>
          <w:sz w:val="32"/>
          <w:szCs w:val="32"/>
          <w:u w:val="none" w:color="auto"/>
          <w:lang w:val="en-US" w:eastAsia="zh-CN"/>
        </w:rPr>
      </w:pPr>
      <w:r>
        <w:rPr>
          <w:rFonts w:hint="eastAsia" w:ascii="仿宋_GB2312" w:hAnsi="仿宋_GB2312" w:eastAsia="仿宋_GB2312" w:cs="仿宋_GB2312"/>
          <w:bCs/>
          <w:color w:val="auto"/>
          <w:w w:val="100"/>
          <w:sz w:val="32"/>
          <w:szCs w:val="32"/>
          <w:u w:val="none" w:color="auto"/>
          <w:lang w:val="en-US" w:eastAsia="zh-CN"/>
        </w:rPr>
        <w:t>身份证件号码：</w:t>
      </w:r>
      <w:r>
        <w:rPr>
          <w:rFonts w:hint="eastAsia" w:ascii="仿宋_GB2312" w:hAnsi="仿宋_GB2312" w:eastAsia="仿宋_GB2312" w:cs="仿宋_GB2312"/>
          <w:color w:val="auto"/>
          <w:w w:val="100"/>
          <w:kern w:val="0"/>
          <w:sz w:val="32"/>
          <w:szCs w:val="32"/>
          <w:u w:val="none" w:color="auto"/>
          <w:lang w:val="en-US" w:eastAsia="zh-CN" w:bidi="ar"/>
        </w:rPr>
        <w:t>*</w:t>
      </w:r>
    </w:p>
    <w:p w14:paraId="19DAD30D">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firstLine="640" w:firstLineChars="200"/>
        <w:textAlignment w:val="baseline"/>
        <w:rPr>
          <w:rFonts w:hint="eastAsia" w:ascii="仿宋_GB2312" w:hAnsi="仿宋_GB2312" w:eastAsia="仿宋_GB2312" w:cs="仿宋_GB2312"/>
          <w:color w:val="auto"/>
          <w:w w:val="100"/>
          <w:sz w:val="32"/>
          <w:szCs w:val="32"/>
        </w:rPr>
      </w:pPr>
    </w:p>
    <w:p w14:paraId="78904BDA">
      <w:pPr>
        <w:keepNext/>
        <w:keepLines w:val="0"/>
        <w:pageBreakBefore w:val="0"/>
        <w:widowControl w:val="0"/>
        <w:kinsoku/>
        <w:wordWrap/>
        <w:overflowPunct/>
        <w:topLinePunct w:val="0"/>
        <w:autoSpaceDE w:val="0"/>
        <w:autoSpaceDN w:val="0"/>
        <w:bidi w:val="0"/>
        <w:snapToGrid/>
        <w:spacing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u w:val="none" w:color="auto"/>
          <w:lang w:val="en-US" w:eastAsia="zh-CN" w:bidi="ar-SA"/>
        </w:rPr>
        <w:t>我局执法人员于2026年2月5日对当事人经营场所进行检查，发现当事人货架上1瓶“熙博士</w:t>
      </w:r>
      <w:r>
        <w:rPr>
          <w:rFonts w:hint="default" w:ascii="Arial" w:hAnsi="Arial" w:eastAsia="仿宋_GB2312" w:cs="Arial"/>
          <w:color w:val="auto"/>
          <w:kern w:val="0"/>
          <w:sz w:val="32"/>
          <w:szCs w:val="32"/>
          <w:u w:val="none" w:color="auto"/>
          <w:vertAlign w:val="superscript"/>
          <w:lang w:val="en-US" w:eastAsia="zh-CN" w:bidi="ar-SA"/>
        </w:rPr>
        <w:t>®</w:t>
      </w:r>
      <w:r>
        <w:rPr>
          <w:rFonts w:hint="eastAsia" w:ascii="仿宋_GB2312" w:hAnsi="仿宋_GB2312" w:eastAsia="仿宋_GB2312" w:cs="仿宋_GB2312"/>
          <w:color w:val="auto"/>
          <w:kern w:val="0"/>
          <w:sz w:val="32"/>
          <w:szCs w:val="32"/>
          <w:u w:val="none" w:color="auto"/>
          <w:lang w:val="en-US" w:eastAsia="zh-CN" w:bidi="ar-SA"/>
        </w:rPr>
        <w:t>富硒石榴酒”已超过保质期且未明码标价，现场仓库内发现39个天磁</w:t>
      </w:r>
      <w:r>
        <w:rPr>
          <w:rFonts w:hint="default" w:ascii="Arial" w:hAnsi="Arial" w:eastAsia="仿宋_GB2312" w:cs="Arial"/>
          <w:color w:val="auto"/>
          <w:kern w:val="0"/>
          <w:sz w:val="32"/>
          <w:szCs w:val="32"/>
          <w:u w:val="none" w:color="auto"/>
          <w:vertAlign w:val="superscript"/>
          <w:lang w:val="en-US" w:eastAsia="zh-CN" w:bidi="ar-SA"/>
        </w:rPr>
        <w:t>®</w:t>
      </w:r>
      <w:r>
        <w:rPr>
          <w:rFonts w:hint="eastAsia" w:ascii="仿宋_GB2312" w:hAnsi="仿宋_GB2312" w:eastAsia="仿宋_GB2312" w:cs="仿宋_GB2312"/>
          <w:color w:val="auto"/>
          <w:kern w:val="0"/>
          <w:sz w:val="32"/>
          <w:szCs w:val="32"/>
          <w:u w:val="none" w:color="auto"/>
          <w:lang w:val="en-US" w:eastAsia="zh-CN" w:bidi="ar-SA"/>
        </w:rPr>
        <w:t>天磁帽和10条追凤鸟多功能电热垫标签信息不全，我局当场依法对当事人经营的上述产品采取扣押的行政强制措施。当事人经营超过保质期的食品、未明码标价及经营标签不符合规定的产品，涉嫌违反了《中华人民共和国食品安全法》第三十四条第一款第十项、《中华人民共和国价格法》第十三条第一款、《中华人民共和国产品质量法》第三十六条第一款的规定，我局于2026年3月5日对当事人涉嫌</w:t>
      </w:r>
      <w:r>
        <w:rPr>
          <w:rFonts w:hint="eastAsia" w:ascii="仿宋_GB2312" w:hAnsi="仿宋_GB2312" w:eastAsia="仿宋_GB2312" w:cs="仿宋_GB2312"/>
          <w:bCs/>
          <w:color w:val="auto"/>
          <w:sz w:val="32"/>
          <w:szCs w:val="32"/>
          <w:lang w:eastAsia="zh-CN"/>
        </w:rPr>
        <w:t>经营标签不符合规定的产品</w:t>
      </w:r>
      <w:r>
        <w:rPr>
          <w:rFonts w:hint="eastAsia" w:ascii="仿宋_GB2312" w:hAnsi="仿宋_GB2312" w:eastAsia="仿宋_GB2312" w:cs="仿宋_GB2312"/>
          <w:color w:val="auto"/>
          <w:kern w:val="0"/>
          <w:sz w:val="32"/>
          <w:szCs w:val="32"/>
          <w:u w:val="none" w:color="auto"/>
          <w:lang w:val="en-US" w:eastAsia="zh-CN" w:bidi="ar-SA"/>
        </w:rPr>
        <w:t>进行立案调查。</w:t>
      </w:r>
    </w:p>
    <w:p w14:paraId="0DF9B5A3">
      <w:pPr>
        <w:keepNext/>
        <w:keepLines w:val="0"/>
        <w:pageBreakBefore w:val="0"/>
        <w:widowControl w:val="0"/>
        <w:kinsoku/>
        <w:wordWrap w:val="0"/>
        <w:overflowPunct/>
        <w:topLinePunct w:val="0"/>
        <w:autoSpaceDE w:val="0"/>
        <w:autoSpaceDN w:val="0"/>
        <w:bidi w:val="0"/>
        <w:adjustRightInd/>
        <w:snapToGrid/>
        <w:spacing w:line="5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lang w:val="en-US" w:eastAsia="zh-CN"/>
        </w:rPr>
        <w:t>经</w:t>
      </w:r>
      <w:r>
        <w:rPr>
          <w:rFonts w:hint="eastAsia" w:ascii="仿宋_GB2312" w:hAnsi="仿宋_GB2312" w:eastAsia="仿宋_GB2312" w:cs="仿宋_GB2312"/>
          <w:b w:val="0"/>
          <w:bCs w:val="0"/>
          <w:color w:val="auto"/>
          <w:sz w:val="32"/>
          <w:szCs w:val="32"/>
          <w:highlight w:val="none"/>
          <w:lang w:val="en-US" w:eastAsia="zh-CN"/>
        </w:rPr>
        <w:t>查实：当事人</w:t>
      </w:r>
      <w:r>
        <w:rPr>
          <w:rFonts w:hint="eastAsia" w:ascii="仿宋_GB2312" w:hAnsi="仿宋_GB2312" w:eastAsia="仿宋_GB2312" w:cs="仿宋_GB2312"/>
          <w:color w:val="auto"/>
          <w:kern w:val="0"/>
          <w:sz w:val="32"/>
          <w:szCs w:val="32"/>
          <w:u w:val="none" w:color="auto"/>
          <w:lang w:val="en-US" w:eastAsia="zh-CN" w:bidi="ar-SA"/>
        </w:rPr>
        <w:t>以*元/瓶</w:t>
      </w:r>
      <w:r>
        <w:rPr>
          <w:rFonts w:hint="eastAsia" w:ascii="仿宋" w:hAnsi="仿宋" w:eastAsia="仿宋" w:cs="仿宋"/>
          <w:color w:val="auto"/>
          <w:sz w:val="32"/>
          <w:szCs w:val="32"/>
          <w:lang w:val="en-US" w:eastAsia="zh-CN"/>
        </w:rPr>
        <w:t>的价格</w:t>
      </w:r>
      <w:r>
        <w:rPr>
          <w:rFonts w:hint="eastAsia" w:ascii="仿宋_GB2312" w:hAnsi="仿宋_GB2312" w:eastAsia="仿宋_GB2312" w:cs="仿宋_GB2312"/>
          <w:color w:val="auto"/>
          <w:sz w:val="32"/>
          <w:szCs w:val="32"/>
          <w:lang w:val="en-US" w:eastAsia="zh-CN"/>
        </w:rPr>
        <w:t>购进1瓶熙博士·富硒石榴酒（硒红）置于经营场所货柜上销售，该食品外包装标签标示有“品名：熙博士·富硒石榴酒（硒红），净含量：750ml，生产日期：20210123，保质期：3年，执行标准Q/HYT0003S，生产许可证编号：SC11534032105240，生产商：安徽亚太集团  安徽省怀远县亚太石榴酒有限公司</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lang w:val="en-US" w:eastAsia="zh-CN"/>
        </w:rPr>
        <w:t>等文字内容，截</w:t>
      </w:r>
      <w:r>
        <w:rPr>
          <w:rFonts w:hint="eastAsia" w:ascii="仿宋_GB2312" w:hAnsi="仿宋_GB2312" w:eastAsia="仿宋_GB2312" w:cs="仿宋_GB2312"/>
          <w:b w:val="0"/>
          <w:bCs w:val="0"/>
          <w:color w:val="auto"/>
          <w:sz w:val="32"/>
          <w:szCs w:val="32"/>
          <w:highlight w:val="none"/>
          <w:lang w:val="en-US" w:eastAsia="zh-CN"/>
        </w:rPr>
        <w:t>至2026年2月5日被我局依法查获时止，当事人在售的</w:t>
      </w:r>
      <w:r>
        <w:rPr>
          <w:rFonts w:hint="eastAsia" w:ascii="仿宋_GB2312" w:hAnsi="仿宋_GB2312" w:eastAsia="仿宋_GB2312" w:cs="仿宋_GB2312"/>
          <w:color w:val="auto"/>
          <w:sz w:val="32"/>
          <w:szCs w:val="32"/>
          <w:lang w:val="en-US" w:eastAsia="zh-CN"/>
        </w:rPr>
        <w:t>1瓶上述熙博士·富硒石榴酒（硒红）</w:t>
      </w:r>
      <w:r>
        <w:rPr>
          <w:rFonts w:hint="eastAsia" w:ascii="仿宋_GB2312" w:hAnsi="仿宋_GB2312" w:eastAsia="仿宋_GB2312" w:cs="仿宋_GB2312"/>
          <w:b w:val="0"/>
          <w:bCs w:val="0"/>
          <w:color w:val="auto"/>
          <w:sz w:val="32"/>
          <w:szCs w:val="32"/>
          <w:highlight w:val="none"/>
          <w:lang w:val="en-US" w:eastAsia="zh-CN"/>
        </w:rPr>
        <w:t>已超过保质期，</w:t>
      </w:r>
      <w:r>
        <w:rPr>
          <w:rFonts w:hint="eastAsia" w:ascii="仿宋_GB2312" w:hAnsi="仿宋_GB2312" w:eastAsia="仿宋_GB2312" w:cs="仿宋_GB2312"/>
          <w:color w:val="auto"/>
          <w:sz w:val="32"/>
          <w:szCs w:val="32"/>
          <w:lang w:val="en-US" w:eastAsia="zh-CN"/>
        </w:rPr>
        <w:t>被我局依法采取扣押的行政强制措施。</w:t>
      </w:r>
      <w:r>
        <w:rPr>
          <w:rFonts w:hint="eastAsia" w:ascii="仿宋_GB2312" w:hAnsi="仿宋_GB2312" w:eastAsia="仿宋_GB2312" w:cs="仿宋_GB2312"/>
          <w:b w:val="0"/>
          <w:bCs w:val="0"/>
          <w:color w:val="auto"/>
          <w:sz w:val="32"/>
          <w:szCs w:val="32"/>
          <w:highlight w:val="none"/>
          <w:lang w:val="en-US" w:eastAsia="zh-CN"/>
        </w:rPr>
        <w:t>当事人在经营过程中</w:t>
      </w:r>
      <w:r>
        <w:rPr>
          <w:rFonts w:hint="eastAsia" w:ascii="仿宋_GB2312" w:hAnsi="仿宋_GB2312" w:eastAsia="仿宋_GB2312" w:cs="仿宋_GB2312"/>
          <w:color w:val="auto"/>
          <w:sz w:val="32"/>
          <w:szCs w:val="32"/>
          <w:lang w:val="en-US" w:eastAsia="zh-CN"/>
        </w:rPr>
        <w:t>未标明该食品价格</w:t>
      </w:r>
      <w:r>
        <w:rPr>
          <w:rFonts w:hint="eastAsia" w:ascii="仿宋_GB2312" w:hAnsi="仿宋_GB2312" w:eastAsia="仿宋_GB2312" w:cs="仿宋_GB2312"/>
          <w:color w:val="auto"/>
          <w:sz w:val="32"/>
          <w:szCs w:val="32"/>
        </w:rPr>
        <w:t>。</w:t>
      </w:r>
    </w:p>
    <w:p w14:paraId="5CAA2CFB">
      <w:pPr>
        <w:keepNext/>
        <w:keepLines w:val="0"/>
        <w:pageBreakBefore w:val="0"/>
        <w:widowControl w:val="0"/>
        <w:kinsoku/>
        <w:wordWrap w:val="0"/>
        <w:overflowPunct/>
        <w:topLinePunct w:val="0"/>
        <w:autoSpaceDE w:val="0"/>
        <w:autoSpaceDN w:val="0"/>
        <w:bidi w:val="0"/>
        <w:adjustRightInd/>
        <w:snapToGrid/>
        <w:spacing w:line="50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lang w:eastAsia="zh-CN"/>
        </w:rPr>
        <w:t>另查实，</w:t>
      </w:r>
      <w:r>
        <w:rPr>
          <w:rFonts w:hint="eastAsia" w:ascii="仿宋_GB2312" w:hAnsi="仿宋_GB2312" w:eastAsia="仿宋_GB2312" w:cs="仿宋_GB2312"/>
          <w:b w:val="0"/>
          <w:bCs w:val="0"/>
          <w:color w:val="auto"/>
          <w:sz w:val="32"/>
          <w:szCs w:val="32"/>
          <w:highlight w:val="none"/>
          <w:lang w:val="en-US" w:eastAsia="zh-CN"/>
        </w:rPr>
        <w:t>当事人员工于2025年6月13日以*元/条的价格从百年*生物科技有限公司购进20条追凤鸟多功能电热垫后，将10条追凤鸟多功能电热垫放置于当事人经营场所内销售，该产品无外包装标签，产品内放置有使用说明书、保险卡各1张，无产品质量检验合格证明。</w:t>
      </w:r>
      <w:r>
        <w:rPr>
          <w:rFonts w:hint="eastAsia" w:ascii="仿宋_GB2312" w:hAnsi="仿宋_GB2312" w:eastAsia="仿宋_GB2312" w:cs="仿宋_GB2312"/>
          <w:color w:val="auto"/>
          <w:sz w:val="32"/>
          <w:szCs w:val="32"/>
          <w:lang w:val="en-US" w:eastAsia="zh-CN"/>
        </w:rPr>
        <w:t>截</w:t>
      </w:r>
      <w:r>
        <w:rPr>
          <w:rFonts w:hint="eastAsia" w:ascii="仿宋_GB2312" w:hAnsi="仿宋_GB2312" w:eastAsia="仿宋_GB2312" w:cs="仿宋_GB2312"/>
          <w:b w:val="0"/>
          <w:bCs w:val="0"/>
          <w:color w:val="auto"/>
          <w:sz w:val="32"/>
          <w:szCs w:val="32"/>
          <w:highlight w:val="none"/>
          <w:lang w:val="en-US" w:eastAsia="zh-CN"/>
        </w:rPr>
        <w:t>至2026年2月5日被我局依法查获时止，当事人上述追凤鸟多功能电热垫未有售出，剩余的10条</w:t>
      </w:r>
      <w:r>
        <w:rPr>
          <w:rFonts w:hint="eastAsia" w:ascii="仿宋_GB2312" w:hAnsi="仿宋_GB2312" w:eastAsia="仿宋_GB2312" w:cs="仿宋_GB2312"/>
          <w:color w:val="auto"/>
          <w:sz w:val="32"/>
          <w:szCs w:val="32"/>
          <w:lang w:val="en-US" w:eastAsia="zh-CN"/>
        </w:rPr>
        <w:t>被我局依法采取扣押的行政强制措施</w:t>
      </w:r>
      <w:r>
        <w:rPr>
          <w:rFonts w:hint="eastAsia" w:ascii="仿宋_GB2312" w:hAnsi="仿宋_GB2312" w:eastAsia="仿宋_GB2312" w:cs="仿宋_GB2312"/>
          <w:color w:val="auto"/>
          <w:sz w:val="32"/>
          <w:szCs w:val="32"/>
        </w:rPr>
        <w:t>。</w:t>
      </w:r>
    </w:p>
    <w:p w14:paraId="4914AA8E">
      <w:pPr>
        <w:keepNext w:val="0"/>
        <w:keepLines w:val="0"/>
        <w:pageBreakBefore w:val="0"/>
        <w:widowControl w:val="0"/>
        <w:kinsoku/>
        <w:wordWrap/>
        <w:overflowPunct/>
        <w:topLinePunct w:val="0"/>
        <w:autoSpaceDE/>
        <w:autoSpaceDN/>
        <w:bidi w:val="0"/>
        <w:snapToGrid/>
        <w:spacing w:line="500" w:lineRule="exact"/>
        <w:ind w:left="0" w:leftChars="0"/>
        <w:jc w:val="both"/>
        <w:textAlignment w:val="auto"/>
        <w:rPr>
          <w:rFonts w:ascii="仿宋_GB2312" w:hAnsi="仿宋_GB2312" w:eastAsia="仿宋_GB2312" w:cs="仿宋_GB2312"/>
          <w:b/>
          <w:color w:val="auto"/>
          <w:sz w:val="32"/>
          <w:szCs w:val="32"/>
        </w:rPr>
      </w:pPr>
      <w:r>
        <w:rPr>
          <w:rFonts w:hint="eastAsia" w:hAnsi="仿宋_GB2312" w:cs="仿宋_GB2312"/>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上述事实，主要有以下证据证明：</w:t>
      </w:r>
    </w:p>
    <w:p w14:paraId="2D62E1A8">
      <w:pPr>
        <w:keepNext w:val="0"/>
        <w:keepLines w:val="0"/>
        <w:pageBreakBefore w:val="0"/>
        <w:widowControl w:val="0"/>
        <w:numPr>
          <w:ilvl w:val="0"/>
          <w:numId w:val="0"/>
        </w:numPr>
        <w:kinsoku/>
        <w:wordWrap/>
        <w:overflowPunct/>
        <w:topLinePunct w:val="0"/>
        <w:bidi w:val="0"/>
        <w:snapToGrid/>
        <w:spacing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1.</w:t>
      </w:r>
      <w:r>
        <w:rPr>
          <w:rFonts w:hint="eastAsia" w:ascii="仿宋_GB2312" w:hAnsi="仿宋_GB2312" w:eastAsia="仿宋_GB2312" w:cs="仿宋_GB2312"/>
          <w:color w:val="auto"/>
          <w:sz w:val="32"/>
          <w:szCs w:val="32"/>
          <w:highlight w:val="none"/>
          <w:lang w:eastAsia="zh-CN"/>
        </w:rPr>
        <w:t>当事人的《营业执照》复印件</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份、身份证复印件</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份，</w:t>
      </w:r>
      <w:r>
        <w:rPr>
          <w:rFonts w:hint="eastAsia" w:ascii="仿宋_GB2312" w:hAnsi="仿宋_GB2312" w:eastAsia="仿宋_GB2312" w:cs="仿宋_GB2312"/>
          <w:color w:val="auto"/>
          <w:sz w:val="32"/>
          <w:szCs w:val="32"/>
          <w:highlight w:val="none"/>
          <w:lang w:val="en-US" w:eastAsia="zh-CN"/>
        </w:rPr>
        <w:t>证明当事人的主体资格</w:t>
      </w:r>
      <w:r>
        <w:rPr>
          <w:rFonts w:hint="eastAsia" w:ascii="仿宋_GB2312" w:hAnsi="仿宋_GB2312" w:eastAsia="仿宋_GB2312" w:cs="仿宋_GB2312"/>
          <w:strike w:val="0"/>
          <w:dstrike w:val="0"/>
          <w:color w:val="auto"/>
          <w:sz w:val="32"/>
          <w:szCs w:val="32"/>
          <w:highlight w:val="none"/>
          <w:lang w:val="en-US" w:eastAsia="zh-CN"/>
        </w:rPr>
        <w:t>及经营者</w:t>
      </w:r>
      <w:r>
        <w:rPr>
          <w:rFonts w:hint="eastAsia" w:ascii="仿宋_GB2312" w:hAnsi="仿宋_GB2312" w:eastAsia="仿宋_GB2312" w:cs="仿宋_GB2312"/>
          <w:color w:val="auto"/>
          <w:sz w:val="32"/>
          <w:szCs w:val="32"/>
          <w:highlight w:val="none"/>
          <w:lang w:val="en-US" w:eastAsia="zh-CN"/>
        </w:rPr>
        <w:t>的身份信息。</w:t>
      </w:r>
    </w:p>
    <w:p w14:paraId="1ED87D9D">
      <w:pPr>
        <w:keepNext w:val="0"/>
        <w:keepLines w:val="0"/>
        <w:pageBreakBefore w:val="0"/>
        <w:widowControl w:val="0"/>
        <w:numPr>
          <w:ilvl w:val="0"/>
          <w:numId w:val="0"/>
        </w:numPr>
        <w:kinsoku/>
        <w:wordWrap/>
        <w:overflowPunct/>
        <w:topLinePunct w:val="0"/>
        <w:bidi w:val="0"/>
        <w:snapToGrid/>
        <w:spacing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2.《现场笔录》1份、《询问笔录》2份、《证据提取单》11份、《实施行政强制措施决定书》和《财物清单》各2份、证明当事人存在经营超过保质期的</w:t>
      </w:r>
      <w:r>
        <w:rPr>
          <w:rFonts w:hint="eastAsia" w:ascii="仿宋_GB2312" w:hAnsi="仿宋_GB2312" w:eastAsia="仿宋_GB2312" w:cs="仿宋_GB2312"/>
          <w:color w:val="auto"/>
          <w:sz w:val="32"/>
          <w:szCs w:val="32"/>
          <w:lang w:val="en-US" w:eastAsia="zh-CN"/>
        </w:rPr>
        <w:t>熙博士·富硒石榴酒（硒红）</w:t>
      </w:r>
      <w:r>
        <w:rPr>
          <w:rFonts w:hint="eastAsia" w:ascii="仿宋_GB2312" w:hAnsi="仿宋_GB2312" w:eastAsia="仿宋_GB2312" w:cs="仿宋_GB2312"/>
          <w:color w:val="auto"/>
          <w:sz w:val="32"/>
          <w:szCs w:val="32"/>
          <w:highlight w:val="none"/>
          <w:lang w:val="en-US" w:eastAsia="zh-CN"/>
        </w:rPr>
        <w:t>、未明码标价、经营</w:t>
      </w:r>
      <w:r>
        <w:rPr>
          <w:rFonts w:hint="eastAsia" w:ascii="仿宋_GB2312" w:hAnsi="仿宋_GB2312" w:eastAsia="仿宋_GB2312" w:cs="仿宋_GB2312"/>
          <w:b w:val="0"/>
          <w:bCs w:val="0"/>
          <w:color w:val="auto"/>
          <w:sz w:val="32"/>
          <w:szCs w:val="32"/>
          <w:highlight w:val="none"/>
          <w:lang w:val="en-US" w:eastAsia="zh-CN"/>
        </w:rPr>
        <w:t>无产品质量检验合格证明</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b w:val="0"/>
          <w:bCs w:val="0"/>
          <w:color w:val="auto"/>
          <w:sz w:val="32"/>
          <w:szCs w:val="32"/>
          <w:highlight w:val="none"/>
          <w:lang w:val="en-US" w:eastAsia="zh-CN"/>
        </w:rPr>
        <w:t>追凤鸟多功能电热垫</w:t>
      </w:r>
      <w:r>
        <w:rPr>
          <w:rFonts w:hint="eastAsia" w:ascii="仿宋_GB2312" w:hAnsi="仿宋_GB2312" w:eastAsia="仿宋_GB2312" w:cs="仿宋_GB2312"/>
          <w:color w:val="auto"/>
          <w:sz w:val="32"/>
          <w:szCs w:val="32"/>
          <w:highlight w:val="none"/>
          <w:lang w:val="en-US" w:eastAsia="zh-CN"/>
        </w:rPr>
        <w:t>的事实。</w:t>
      </w:r>
      <w:r>
        <w:rPr>
          <w:rFonts w:hint="eastAsia" w:ascii="仿宋_GB2312" w:hAnsi="仿宋_GB2312" w:eastAsia="仿宋_GB2312" w:cs="仿宋_GB2312"/>
          <w:b w:val="0"/>
          <w:bCs w:val="0"/>
          <w:color w:val="auto"/>
          <w:sz w:val="32"/>
          <w:szCs w:val="32"/>
          <w:highlight w:val="none"/>
          <w:lang w:val="en-US" w:eastAsia="zh-CN"/>
        </w:rPr>
        <w:t xml:space="preserve">           </w:t>
      </w:r>
    </w:p>
    <w:p w14:paraId="75B0CFEB">
      <w:pPr>
        <w:keepNext w:val="0"/>
        <w:keepLines w:val="0"/>
        <w:pageBreakBefore w:val="0"/>
        <w:widowControl w:val="0"/>
        <w:numPr>
          <w:ilvl w:val="0"/>
          <w:numId w:val="0"/>
        </w:numPr>
        <w:kinsoku/>
        <w:wordWrap/>
        <w:overflowPunct/>
        <w:topLinePunct w:val="0"/>
        <w:bidi w:val="0"/>
        <w:snapToGrid/>
        <w:spacing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color w:val="auto"/>
          <w:sz w:val="32"/>
          <w:szCs w:val="32"/>
          <w:lang w:val="en-US" w:eastAsia="zh-CN"/>
        </w:rPr>
        <w:t>柳州*管理咨询有限公司《营业执照》复印件1份、收据复印件1份、百年*生物科技有限公司《营业执照》复印件1份、进货票据复印件1份、《中国国家强制性产品认证证书》1份，</w:t>
      </w:r>
      <w:r>
        <w:rPr>
          <w:rFonts w:hint="eastAsia" w:ascii="仿宋_GB2312" w:hAnsi="仿宋_GB2312" w:eastAsia="仿宋_GB2312" w:cs="仿宋_GB2312"/>
          <w:bCs/>
          <w:color w:val="auto"/>
          <w:sz w:val="32"/>
          <w:szCs w:val="32"/>
          <w:highlight w:val="none"/>
          <w:lang w:val="en-US" w:eastAsia="zh-CN"/>
        </w:rPr>
        <w:t>证明</w:t>
      </w:r>
      <w:r>
        <w:rPr>
          <w:rFonts w:hint="eastAsia" w:ascii="仿宋_GB2312" w:hAnsi="仿宋_GB2312" w:eastAsia="仿宋_GB2312" w:cs="仿宋_GB2312"/>
          <w:b w:val="0"/>
          <w:bCs w:val="0"/>
          <w:color w:val="auto"/>
          <w:sz w:val="32"/>
          <w:szCs w:val="32"/>
          <w:lang w:val="en-US" w:eastAsia="zh-CN"/>
        </w:rPr>
        <w:t>涉案产品来源情况</w:t>
      </w:r>
      <w:r>
        <w:rPr>
          <w:rFonts w:hint="eastAsia" w:ascii="仿宋_GB2312" w:hAnsi="仿宋_GB2312" w:eastAsia="仿宋_GB2312" w:cs="仿宋_GB2312"/>
          <w:color w:val="auto"/>
          <w:sz w:val="32"/>
          <w:szCs w:val="32"/>
          <w:vertAlign w:val="baseline"/>
          <w:lang w:val="en-US" w:eastAsia="zh-CN"/>
        </w:rPr>
        <w:t>。</w:t>
      </w:r>
    </w:p>
    <w:p w14:paraId="6D9645F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color w:val="auto"/>
          <w:sz w:val="32"/>
          <w:szCs w:val="32"/>
          <w:highlight w:val="none"/>
          <w:lang w:eastAsia="zh-CN"/>
        </w:rPr>
        <w:t>以上</w:t>
      </w:r>
      <w:r>
        <w:rPr>
          <w:rFonts w:hint="eastAsia" w:ascii="仿宋_GB2312" w:hAnsi="仿宋_GB2312" w:eastAsia="仿宋_GB2312" w:cs="仿宋_GB2312"/>
          <w:color w:val="auto"/>
          <w:sz w:val="32"/>
          <w:szCs w:val="32"/>
          <w:highlight w:val="none"/>
        </w:rPr>
        <w:t>证据均由</w:t>
      </w:r>
      <w:r>
        <w:rPr>
          <w:rFonts w:hint="eastAsia" w:ascii="仿宋_GB2312" w:hAnsi="仿宋_GB2312" w:eastAsia="仿宋_GB2312" w:cs="仿宋_GB2312"/>
          <w:color w:val="auto"/>
          <w:sz w:val="32"/>
          <w:szCs w:val="32"/>
          <w:highlight w:val="none"/>
          <w:lang w:eastAsia="zh-CN"/>
        </w:rPr>
        <w:t>经营者</w:t>
      </w:r>
      <w:r>
        <w:rPr>
          <w:rFonts w:hint="eastAsia" w:ascii="仿宋_GB2312" w:hAnsi="仿宋_GB2312" w:eastAsia="仿宋_GB2312" w:cs="仿宋_GB2312"/>
          <w:color w:val="auto"/>
          <w:sz w:val="32"/>
          <w:szCs w:val="32"/>
          <w:highlight w:val="none"/>
        </w:rPr>
        <w:t>签名认可。</w:t>
      </w:r>
      <w:r>
        <w:rPr>
          <w:rFonts w:hint="eastAsia" w:ascii="仿宋_GB2312" w:hAnsi="仿宋_GB2312" w:eastAsia="仿宋_GB2312" w:cs="仿宋_GB2312"/>
          <w:bCs/>
          <w:color w:val="auto"/>
          <w:sz w:val="32"/>
          <w:szCs w:val="32"/>
          <w:u w:val="none" w:color="auto"/>
          <w:lang w:val="en-US" w:eastAsia="zh-CN"/>
        </w:rPr>
        <w:t xml:space="preserve"> </w:t>
      </w:r>
    </w:p>
    <w:p w14:paraId="10366988">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2026年8月24日我局向当事人送达了《行政处罚告知书》（柳北市监罚告</w:t>
      </w:r>
      <w:r>
        <w:rPr>
          <w:rFonts w:hint="eastAsia" w:ascii="仿宋_GB2312" w:hAnsi="仿宋_GB2312" w:eastAsia="仿宋_GB2312" w:cs="仿宋_GB2312"/>
          <w:bCs/>
          <w:color w:val="auto"/>
          <w:sz w:val="32"/>
          <w:szCs w:val="32"/>
          <w:highlight w:val="none"/>
          <w:u w:val="none" w:color="auto"/>
          <w:lang w:val="en-US" w:eastAsia="zh-CN"/>
        </w:rPr>
        <w:t>〔2026〕92号</w:t>
      </w:r>
      <w:r>
        <w:rPr>
          <w:rFonts w:hint="eastAsia" w:ascii="仿宋_GB2312" w:hAnsi="仿宋_GB2312" w:eastAsia="仿宋_GB2312" w:cs="仿宋_GB2312"/>
          <w:bCs/>
          <w:color w:val="auto"/>
          <w:sz w:val="32"/>
          <w:szCs w:val="32"/>
          <w:u w:val="none" w:color="auto"/>
          <w:lang w:val="en-US" w:eastAsia="zh-CN"/>
        </w:rPr>
        <w:t>），告知当事人我局拟作出行政处罚的事实、理由、依据、处罚内容及享有的权利。当事人在法定期限内未提出陈述、申辩。</w:t>
      </w:r>
    </w:p>
    <w:p w14:paraId="1C5779BD">
      <w:pPr>
        <w:keepNext w:val="0"/>
        <w:keepLines w:val="0"/>
        <w:pageBreakBefore w:val="0"/>
        <w:widowControl w:val="0"/>
        <w:numPr>
          <w:ilvl w:val="0"/>
          <w:numId w:val="0"/>
        </w:numPr>
        <w:kinsoku/>
        <w:wordWrap/>
        <w:overflowPunct/>
        <w:topLinePunct w:val="0"/>
        <w:bidi w:val="0"/>
        <w:snapToGrid/>
        <w:spacing w:line="500" w:lineRule="exact"/>
        <w:ind w:right="0" w:rightChars="0"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eastAsia="zh-CN"/>
        </w:rPr>
        <w:t>当事人经营上述超过保质期的</w:t>
      </w:r>
      <w:r>
        <w:rPr>
          <w:rFonts w:hint="eastAsia" w:ascii="仿宋_GB2312" w:hAnsi="仿宋_GB2312" w:eastAsia="仿宋_GB2312" w:cs="仿宋_GB2312"/>
          <w:color w:val="auto"/>
          <w:sz w:val="32"/>
          <w:szCs w:val="32"/>
          <w:lang w:val="en-US" w:eastAsia="zh-CN"/>
        </w:rPr>
        <w:t>熙博士·富硒石榴酒（硒红）的行为</w:t>
      </w:r>
      <w:r>
        <w:rPr>
          <w:rFonts w:hint="eastAsia" w:ascii="仿宋_GB2312" w:hAnsi="仿宋_GB2312" w:eastAsia="仿宋_GB2312" w:cs="仿宋_GB2312"/>
          <w:color w:val="auto"/>
          <w:sz w:val="32"/>
          <w:szCs w:val="32"/>
          <w:highlight w:val="none"/>
          <w:lang w:eastAsia="zh-CN"/>
        </w:rPr>
        <w:t>，违反了《中华人民共和国食品安全法》第三十四条</w:t>
      </w:r>
      <w:r>
        <w:rPr>
          <w:rFonts w:hint="eastAsia" w:ascii="仿宋_GB2312" w:hAnsi="仿宋_GB2312" w:eastAsia="仿宋_GB2312" w:cs="仿宋_GB2312"/>
          <w:color w:val="auto"/>
          <w:sz w:val="32"/>
          <w:szCs w:val="32"/>
          <w:highlight w:val="none"/>
          <w:lang w:val="en-US" w:eastAsia="zh-CN"/>
        </w:rPr>
        <w:t>第一款</w:t>
      </w:r>
      <w:r>
        <w:rPr>
          <w:rFonts w:hint="eastAsia" w:ascii="仿宋_GB2312" w:hAnsi="仿宋_GB2312" w:eastAsia="仿宋_GB2312" w:cs="仿宋_GB2312"/>
          <w:color w:val="auto"/>
          <w:sz w:val="32"/>
          <w:szCs w:val="32"/>
          <w:highlight w:val="none"/>
          <w:lang w:eastAsia="zh-CN"/>
        </w:rPr>
        <w:t>第十项“禁止生产经营下列食品、食品添加剂、食品相关产品：（十）标注虚假生产日期、保质期或者超过保质期的食品、食品添加剂”的规定，属于经营超过保质期的食品的行为，货值金额共计</w:t>
      </w:r>
      <w:r>
        <w:rPr>
          <w:rFonts w:hint="eastAsia" w:ascii="仿宋_GB2312" w:hAnsi="仿宋_GB2312" w:eastAsia="仿宋_GB2312" w:cs="仿宋_GB2312"/>
          <w:color w:val="auto"/>
          <w:sz w:val="32"/>
          <w:szCs w:val="32"/>
          <w:highlight w:val="none"/>
          <w:lang w:val="en-US" w:eastAsia="zh-CN"/>
        </w:rPr>
        <w:t>50元，违法所得0元</w:t>
      </w:r>
      <w:r>
        <w:rPr>
          <w:rFonts w:hint="eastAsia" w:ascii="仿宋_GB2312" w:hAnsi="仿宋_GB2312" w:eastAsia="仿宋_GB2312" w:cs="仿宋_GB2312"/>
          <w:color w:val="auto"/>
          <w:sz w:val="32"/>
          <w:szCs w:val="32"/>
          <w:lang w:val="en-US" w:eastAsia="zh-CN"/>
        </w:rPr>
        <w:t>。</w:t>
      </w:r>
    </w:p>
    <w:p w14:paraId="75F31641">
      <w:pPr>
        <w:keepNext w:val="0"/>
        <w:keepLines w:val="0"/>
        <w:pageBreakBefore w:val="0"/>
        <w:widowControl w:val="0"/>
        <w:numPr>
          <w:ilvl w:val="0"/>
          <w:numId w:val="0"/>
        </w:numPr>
        <w:kinsoku/>
        <w:wordWrap/>
        <w:overflowPunct/>
        <w:topLinePunct w:val="0"/>
        <w:bidi w:val="0"/>
        <w:snapToGrid/>
        <w:spacing w:line="500" w:lineRule="exact"/>
        <w:ind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当事人未对经营的上述产品明码标价的行为，违反了《中华人民共和国价格法》</w:t>
      </w:r>
      <w:r>
        <w:rPr>
          <w:rFonts w:hint="eastAsia" w:ascii="仿宋_GB2312" w:hAnsi="仿宋_GB2312" w:eastAsia="仿宋_GB2312" w:cs="仿宋_GB2312"/>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第一款“</w:t>
      </w:r>
      <w:r>
        <w:rPr>
          <w:rFonts w:hint="eastAsia" w:ascii="仿宋_GB2312" w:hAnsi="仿宋_GB2312" w:eastAsia="仿宋_GB2312" w:cs="仿宋_GB2312"/>
          <w:color w:val="auto"/>
          <w:sz w:val="32"/>
          <w:szCs w:val="32"/>
          <w:highlight w:val="none"/>
          <w:lang w:eastAsia="zh-CN"/>
        </w:rPr>
        <w:t>经营者销售、收购商品和提供服务，应当按照政府价格主管部门的规定明码标价，注明商品的品名、产地、规格、等级、计价单位、价格或者服务的项目、收费标准等有关情况</w:t>
      </w:r>
      <w:r>
        <w:rPr>
          <w:rFonts w:hint="eastAsia" w:ascii="仿宋_GB2312" w:hAnsi="仿宋_GB2312" w:eastAsia="仿宋_GB2312" w:cs="仿宋_GB2312"/>
          <w:color w:val="auto"/>
          <w:sz w:val="32"/>
          <w:szCs w:val="32"/>
          <w:highlight w:val="none"/>
          <w:lang w:val="en-US" w:eastAsia="zh-CN"/>
        </w:rPr>
        <w:t>”的规定，属于销售商品未明码标价的行为。</w:t>
      </w:r>
    </w:p>
    <w:p w14:paraId="00B88AD5">
      <w:pPr>
        <w:keepNext w:val="0"/>
        <w:keepLines w:val="0"/>
        <w:pageBreakBefore w:val="0"/>
        <w:widowControl w:val="0"/>
        <w:numPr>
          <w:ilvl w:val="0"/>
          <w:numId w:val="0"/>
        </w:numPr>
        <w:kinsoku/>
        <w:wordWrap/>
        <w:overflowPunct/>
        <w:topLinePunct w:val="0"/>
        <w:bidi w:val="0"/>
        <w:snapToGrid/>
        <w:spacing w:line="500" w:lineRule="exact"/>
        <w:ind w:right="0" w:rightChars="0"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当事人经营</w:t>
      </w:r>
      <w:r>
        <w:rPr>
          <w:rFonts w:hint="eastAsia" w:ascii="仿宋_GB2312" w:hAnsi="仿宋_GB2312" w:eastAsia="仿宋_GB2312" w:cs="仿宋_GB2312"/>
          <w:b w:val="0"/>
          <w:bCs w:val="0"/>
          <w:color w:val="auto"/>
          <w:sz w:val="32"/>
          <w:szCs w:val="32"/>
          <w:highlight w:val="none"/>
          <w:lang w:val="en-US" w:eastAsia="zh-CN"/>
        </w:rPr>
        <w:t>无产品质量检验合格证明</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b w:val="0"/>
          <w:bCs w:val="0"/>
          <w:color w:val="auto"/>
          <w:sz w:val="32"/>
          <w:szCs w:val="32"/>
          <w:highlight w:val="none"/>
          <w:lang w:val="en-US" w:eastAsia="zh-CN"/>
        </w:rPr>
        <w:t>追凤鸟多功能电热垫</w:t>
      </w:r>
      <w:r>
        <w:rPr>
          <w:rFonts w:hint="eastAsia" w:ascii="仿宋_GB2312" w:hAnsi="仿宋_GB2312" w:eastAsia="仿宋_GB2312" w:cs="仿宋_GB2312"/>
          <w:color w:val="auto"/>
          <w:sz w:val="32"/>
          <w:szCs w:val="32"/>
          <w:highlight w:val="none"/>
          <w:lang w:val="en-US" w:eastAsia="zh-CN"/>
        </w:rPr>
        <w:t>的行为，</w:t>
      </w:r>
      <w:r>
        <w:rPr>
          <w:rFonts w:hint="eastAsia" w:ascii="仿宋_GB2312" w:hAnsi="仿宋_GB2312" w:eastAsia="仿宋_GB2312" w:cs="仿宋_GB2312"/>
          <w:color w:val="auto"/>
          <w:sz w:val="32"/>
          <w:szCs w:val="32"/>
          <w:highlight w:val="none"/>
          <w:lang w:eastAsia="zh-CN"/>
        </w:rPr>
        <w:t>违反了《中华人民共和国产品质量法》第三十六条第一款“</w:t>
      </w:r>
      <w:r>
        <w:rPr>
          <w:rFonts w:hint="eastAsia" w:ascii="仿宋_GB2312" w:hAnsi="仿宋_GB2312" w:eastAsia="仿宋_GB2312" w:cs="仿宋_GB2312"/>
          <w:color w:val="auto"/>
          <w:sz w:val="32"/>
          <w:szCs w:val="32"/>
          <w:highlight w:val="none"/>
          <w:lang w:val="en-US" w:eastAsia="zh-CN"/>
        </w:rPr>
        <w:t>销售者销售的产品的标识应当符合本法第二十七条的规定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、第二十七条第一款第一项“</w:t>
      </w:r>
      <w:r>
        <w:rPr>
          <w:rFonts w:hint="default" w:ascii="仿宋_GB2312" w:hAnsi="仿宋_GB2312" w:eastAsia="仿宋_GB2312" w:cs="仿宋_GB2312"/>
          <w:color w:val="auto"/>
          <w:sz w:val="32"/>
          <w:szCs w:val="32"/>
          <w:highlight w:val="none"/>
          <w:lang w:val="en-US" w:eastAsia="zh-CN"/>
        </w:rPr>
        <w:t>产品或者其包装上的标识必须真实，并符合下列要求：(一)有产品质量检验合格证明；</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的规定，属于经营标签不符合规定的产品的行为。</w:t>
      </w:r>
    </w:p>
    <w:p w14:paraId="38F84620">
      <w:pPr>
        <w:pStyle w:val="15"/>
        <w:keepLines w:val="0"/>
        <w:pageBreakBefore w:val="0"/>
        <w:kinsoku/>
        <w:overflowPunct/>
        <w:topLinePunct w:val="0"/>
        <w:bidi w:val="0"/>
        <w:snapToGrid/>
        <w:spacing w:line="500" w:lineRule="exact"/>
        <w:ind w:firstLine="640" w:firstLineChars="200"/>
        <w:rPr>
          <w:rFonts w:hint="eastAsia" w:ascii="仿宋_GB2312" w:hAnsi="仿宋_GB2312" w:eastAsia="仿宋_GB2312" w:cs="仿宋_GB2312"/>
          <w:color w:val="auto"/>
          <w:kern w:val="0"/>
          <w:sz w:val="32"/>
          <w:szCs w:val="32"/>
          <w:u w:val="none" w:color="auto"/>
          <w:lang w:val="en-US" w:eastAsia="zh-CN" w:bidi="ar-SA"/>
        </w:rPr>
      </w:pPr>
      <w:bookmarkStart w:id="0" w:name="OLE_LINK3"/>
      <w:r>
        <w:rPr>
          <w:rFonts w:hint="eastAsia" w:ascii="仿宋_GB2312" w:hAnsi="仿宋_GB2312" w:eastAsia="仿宋_GB2312" w:cs="仿宋_GB2312"/>
          <w:color w:val="auto"/>
          <w:sz w:val="32"/>
          <w:szCs w:val="32"/>
          <w:u w:val="none"/>
          <w:lang w:val="en-US" w:eastAsia="zh-CN"/>
        </w:rPr>
        <w:t>当事人</w:t>
      </w:r>
      <w:r>
        <w:rPr>
          <w:rFonts w:hint="default" w:ascii="仿宋_GB2312" w:hAnsi="仿宋_GB2312" w:eastAsia="仿宋_GB2312" w:cs="仿宋_GB2312"/>
          <w:color w:val="auto"/>
          <w:sz w:val="32"/>
          <w:szCs w:val="32"/>
          <w:u w:val="none"/>
          <w:lang w:val="en-US" w:eastAsia="zh-CN"/>
        </w:rPr>
        <w:t>在案件调查过程中</w:t>
      </w:r>
      <w:r>
        <w:rPr>
          <w:rFonts w:hint="eastAsia" w:ascii="仿宋_GB2312" w:hAnsi="仿宋_GB2312" w:eastAsia="仿宋_GB2312" w:cs="仿宋_GB2312"/>
          <w:color w:val="auto"/>
          <w:sz w:val="32"/>
          <w:szCs w:val="32"/>
          <w:u w:val="none"/>
          <w:lang w:val="en-US" w:eastAsia="zh-CN"/>
        </w:rPr>
        <w:t>积极配合我局调查，</w:t>
      </w:r>
      <w:r>
        <w:rPr>
          <w:rFonts w:hint="default" w:ascii="仿宋_GB2312" w:hAnsi="仿宋_GB2312" w:eastAsia="仿宋_GB2312" w:cs="仿宋_GB2312"/>
          <w:color w:val="auto"/>
          <w:sz w:val="32"/>
          <w:szCs w:val="32"/>
          <w:u w:val="none"/>
          <w:lang w:val="en-US" w:eastAsia="zh-CN"/>
        </w:rPr>
        <w:t>如实陈述违法事实</w:t>
      </w:r>
      <w:r>
        <w:rPr>
          <w:rFonts w:hint="eastAsia" w:ascii="仿宋_GB2312" w:hAnsi="仿宋_GB2312" w:eastAsia="仿宋_GB2312" w:cs="仿宋_GB2312"/>
          <w:color w:val="auto"/>
          <w:sz w:val="32"/>
          <w:szCs w:val="32"/>
          <w:u w:val="none"/>
          <w:lang w:val="en-US" w:eastAsia="zh-CN"/>
        </w:rPr>
        <w:t>，</w:t>
      </w:r>
      <w:r>
        <w:rPr>
          <w:rFonts w:hint="default" w:ascii="仿宋_GB2312" w:hAnsi="仿宋_GB2312" w:eastAsia="仿宋_GB2312" w:cs="仿宋_GB2312"/>
          <w:color w:val="auto"/>
          <w:sz w:val="32"/>
          <w:szCs w:val="32"/>
          <w:u w:val="none"/>
          <w:lang w:val="en-US" w:eastAsia="zh-CN"/>
        </w:rPr>
        <w:t>并</w:t>
      </w:r>
      <w:r>
        <w:rPr>
          <w:rFonts w:hint="eastAsia" w:ascii="仿宋_GB2312" w:hAnsi="仿宋_GB2312" w:eastAsia="仿宋_GB2312" w:cs="仿宋_GB2312"/>
          <w:color w:val="auto"/>
          <w:sz w:val="32"/>
          <w:szCs w:val="32"/>
          <w:u w:val="none"/>
          <w:lang w:val="en-US" w:eastAsia="zh-CN"/>
        </w:rPr>
        <w:t>主动</w:t>
      </w:r>
      <w:r>
        <w:rPr>
          <w:rFonts w:hint="default" w:ascii="仿宋_GB2312" w:hAnsi="仿宋_GB2312" w:eastAsia="仿宋_GB2312" w:cs="仿宋_GB2312"/>
          <w:color w:val="auto"/>
          <w:sz w:val="32"/>
          <w:szCs w:val="32"/>
          <w:u w:val="none"/>
          <w:lang w:val="en-US" w:eastAsia="zh-CN"/>
        </w:rPr>
        <w:t>提供</w:t>
      </w:r>
      <w:r>
        <w:rPr>
          <w:rFonts w:hint="eastAsia" w:ascii="仿宋_GB2312" w:hAnsi="仿宋_GB2312" w:eastAsia="仿宋_GB2312" w:cs="仿宋_GB2312"/>
          <w:color w:val="auto"/>
          <w:sz w:val="32"/>
          <w:szCs w:val="32"/>
          <w:u w:val="none"/>
          <w:lang w:val="en-US" w:eastAsia="zh-CN"/>
        </w:rPr>
        <w:t>供货商资质等</w:t>
      </w:r>
      <w:r>
        <w:rPr>
          <w:rFonts w:hint="default" w:ascii="仿宋_GB2312" w:hAnsi="仿宋_GB2312" w:eastAsia="仿宋_GB2312" w:cs="仿宋_GB2312"/>
          <w:color w:val="auto"/>
          <w:sz w:val="32"/>
          <w:szCs w:val="32"/>
          <w:u w:val="none"/>
          <w:lang w:val="en-US" w:eastAsia="zh-CN"/>
        </w:rPr>
        <w:t>证据材料</w:t>
      </w:r>
      <w:r>
        <w:rPr>
          <w:rFonts w:hint="eastAsia" w:ascii="仿宋_GB2312" w:hAnsi="仿宋_GB2312" w:eastAsia="仿宋_GB2312" w:cs="仿宋_GB2312"/>
          <w:color w:val="auto"/>
          <w:sz w:val="32"/>
          <w:szCs w:val="32"/>
          <w:u w:val="none"/>
          <w:lang w:val="en-US" w:eastAsia="zh-CN"/>
        </w:rPr>
        <w:t>，上述超过保质期的食品未有售出，货值金额不足一千元，参考市场监管总局《关于规范市场监督管理行政处罚裁量权的指导意见》第十四条第一款第二项“有下列情形之一的，可以依法从轻或者减轻行政处罚：（二）积极配合市场监管部门调查并主动提供证据材料的”、《广西壮族自治区市场监督管理行政处罚裁量权适用规定》第十二条第一款第二项“有下列情形之一的，可以依法从轻或者减轻行政处罚：（二）积极配合市场监管部门调查并主动提供证据材料的；”、</w:t>
      </w:r>
      <w:r>
        <w:rPr>
          <w:rFonts w:hint="eastAsia" w:ascii="仿宋_GB2312" w:hAnsi="仿宋_GB2312" w:eastAsia="仿宋_GB2312" w:cs="仿宋_GB2312"/>
          <w:color w:val="auto"/>
          <w:sz w:val="32"/>
          <w:lang w:val="en-US" w:eastAsia="zh-CN"/>
        </w:rPr>
        <w:t>《广西壮族自治区市场监督管理行政处罚裁量基准（2023 版）》中《食品安全法》行政处罚裁量基准“没收违法所得和违法生产经营的食品、食品添加剂，并可以没收用于违法生产经营的工具、设备、原料等物品；并处5万元以下罚款。”减轻处罚适用情形“未造成食品安全事故等人身危害后果且有下列情形之一的：2.产品未销售；或者产品已经销售且货值金额不足一千元；”</w:t>
      </w:r>
      <w:r>
        <w:rPr>
          <w:rFonts w:hint="eastAsia" w:ascii="仿宋_GB2312" w:hAnsi="仿宋_GB2312" w:eastAsia="仿宋_GB2312" w:cs="仿宋_GB2312"/>
          <w:color w:val="auto"/>
          <w:sz w:val="32"/>
          <w:szCs w:val="32"/>
          <w:lang w:val="en-US" w:eastAsia="zh-CN"/>
        </w:rPr>
        <w:t>的规定，</w:t>
      </w:r>
      <w:r>
        <w:rPr>
          <w:rFonts w:hint="eastAsia" w:ascii="仿宋_GB2312" w:hAnsi="仿宋_GB2312" w:eastAsia="仿宋_GB2312" w:cs="仿宋_GB2312"/>
          <w:color w:val="auto"/>
          <w:sz w:val="32"/>
          <w:szCs w:val="32"/>
          <w:u w:val="none"/>
          <w:lang w:val="en-US" w:eastAsia="zh-CN"/>
        </w:rPr>
        <w:t>依据《中华人民共和国行政处罚法》第五条第二款“设定和实施行政处罚必须以事实为依据，与违法行为的事实、性质、情节以及社会危害程度相当。”及第六条“实施行政处罚，纠正违法行为，应当坚持处罚与教育相结合，教育公民、法人或者其他组织自觉守法”的规定，</w:t>
      </w:r>
      <w:r>
        <w:rPr>
          <w:rFonts w:hint="eastAsia" w:hAnsi="仿宋_GB2312" w:cs="仿宋_GB2312"/>
          <w:color w:val="auto"/>
          <w:sz w:val="32"/>
          <w:szCs w:val="32"/>
          <w:u w:val="none"/>
          <w:lang w:val="en-US" w:eastAsia="zh-CN"/>
        </w:rPr>
        <w:t>我局决定</w:t>
      </w:r>
      <w:r>
        <w:rPr>
          <w:rFonts w:hint="eastAsia" w:ascii="仿宋_GB2312" w:hAnsi="仿宋_GB2312" w:eastAsia="仿宋_GB2312" w:cs="仿宋_GB2312"/>
          <w:color w:val="auto"/>
          <w:sz w:val="32"/>
          <w:szCs w:val="32"/>
          <w:u w:val="none"/>
          <w:lang w:val="en-US" w:eastAsia="zh-CN"/>
        </w:rPr>
        <w:t>给予当事人减轻行政处罚。</w:t>
      </w:r>
      <w:bookmarkEnd w:id="0"/>
    </w:p>
    <w:p w14:paraId="0353EC5A">
      <w:pPr>
        <w:keepNext w:val="0"/>
        <w:keepLines w:val="0"/>
        <w:pageBreakBefore w:val="0"/>
        <w:widowControl w:val="0"/>
        <w:numPr>
          <w:ilvl w:val="0"/>
          <w:numId w:val="0"/>
        </w:numPr>
        <w:kinsoku/>
        <w:wordWrap/>
        <w:overflowPunct/>
        <w:topLinePunct w:val="0"/>
        <w:bidi w:val="0"/>
        <w:snapToGrid/>
        <w:spacing w:line="500" w:lineRule="exact"/>
        <w:ind w:right="0" w:rightChars="0"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对于当事人经营超过保质期的食品的行为，依据《中华人民共和国食品安全法》第一百二十四条第一款第五项“违反本法规定，有下列情形之一，尚不构成犯罪的，由县级以上人民政府食品药品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五）生产经营标注虚假生产日期、保质期或者超过保质期的食品、食品添加剂”、《中华人民共和国行政处罚法》第二十八条</w:t>
      </w:r>
      <w:r>
        <w:rPr>
          <w:rFonts w:hint="eastAsia" w:ascii="仿宋_GB2312" w:hAnsi="仿宋_GB2312" w:eastAsia="仿宋_GB2312" w:cs="仿宋_GB2312"/>
          <w:color w:val="auto"/>
          <w:sz w:val="32"/>
          <w:szCs w:val="32"/>
          <w:lang w:val="en-US" w:eastAsia="zh-CN"/>
        </w:rPr>
        <w:t>第一款</w:t>
      </w:r>
      <w:r>
        <w:rPr>
          <w:rFonts w:hint="eastAsia" w:ascii="仿宋_GB2312" w:hAnsi="仿宋_GB2312" w:eastAsia="仿宋_GB2312" w:cs="仿宋_GB2312"/>
          <w:b w:val="0"/>
          <w:bCs w:val="0"/>
          <w:color w:val="auto"/>
          <w:sz w:val="32"/>
          <w:szCs w:val="32"/>
          <w:highlight w:val="none"/>
          <w:lang w:val="en-US" w:eastAsia="zh-CN"/>
        </w:rPr>
        <w:t>“行政机关实施行政处罚时，应当责令当事人改正或者限期改正违法行为”的规定，我局决定责令当事人立即改正该违法行为，并给予当事人没收</w:t>
      </w:r>
      <w:r>
        <w:rPr>
          <w:rFonts w:hint="eastAsia" w:ascii="仿宋_GB2312" w:hAnsi="仿宋_GB2312" w:eastAsia="仿宋_GB2312" w:cs="仿宋_GB2312"/>
          <w:color w:val="auto"/>
          <w:sz w:val="32"/>
          <w:szCs w:val="32"/>
          <w:u w:val="none"/>
          <w:lang w:val="en-US" w:eastAsia="zh-CN"/>
        </w:rPr>
        <w:t>上述超过保质期的</w:t>
      </w:r>
      <w:r>
        <w:rPr>
          <w:rFonts w:hint="eastAsia" w:ascii="仿宋_GB2312" w:hAnsi="仿宋_GB2312" w:eastAsia="仿宋_GB2312" w:cs="仿宋_GB2312"/>
          <w:color w:val="auto"/>
          <w:sz w:val="32"/>
          <w:szCs w:val="32"/>
          <w:lang w:val="en-US" w:eastAsia="zh-CN"/>
        </w:rPr>
        <w:t>熙博士·富硒石榴酒</w:t>
      </w:r>
      <w:r>
        <w:rPr>
          <w:rFonts w:hint="eastAsia" w:ascii="仿宋_GB2312" w:hAnsi="仿宋" w:eastAsia="仿宋_GB2312" w:cs="仿宋"/>
          <w:color w:val="auto"/>
          <w:sz w:val="32"/>
          <w:szCs w:val="32"/>
          <w:lang w:val="en-US" w:eastAsia="zh-CN"/>
        </w:rPr>
        <w:t>1瓶、</w:t>
      </w:r>
      <w:r>
        <w:rPr>
          <w:rFonts w:hint="eastAsia" w:ascii="仿宋_GB2312" w:hAnsi="仿宋_GB2312" w:eastAsia="仿宋_GB2312" w:cs="仿宋_GB2312"/>
          <w:b w:val="0"/>
          <w:bCs w:val="0"/>
          <w:color w:val="auto"/>
          <w:sz w:val="32"/>
          <w:szCs w:val="32"/>
          <w:highlight w:val="none"/>
          <w:lang w:val="en-US" w:eastAsia="zh-CN"/>
        </w:rPr>
        <w:t>罚款2000元的行政处罚。</w:t>
      </w:r>
    </w:p>
    <w:p w14:paraId="75AD68AB">
      <w:pPr>
        <w:keepNext w:val="0"/>
        <w:keepLines w:val="0"/>
        <w:pageBreakBefore w:val="0"/>
        <w:widowControl w:val="0"/>
        <w:kinsoku/>
        <w:wordWrap/>
        <w:overflowPunct/>
        <w:topLinePunct w:val="0"/>
        <w:autoSpaceDE w:val="0"/>
        <w:autoSpaceDN w:val="0"/>
        <w:bidi w:val="0"/>
        <w:adjustRightInd w:val="0"/>
        <w:snapToGrid/>
        <w:spacing w:line="50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对于当事人经营上述食品未明码标价的行为，依据《中华人民共和国价格法》第四十二条第一款“经营者违反明码标价规定的，责令改正，没收违法所得，可以并处五千元以下的罚款。”的规定，我局决定责令当事人立即改正该违法行为，并给予</w:t>
      </w:r>
      <w:r>
        <w:rPr>
          <w:rFonts w:hint="eastAsia" w:ascii="仿宋_GB2312" w:hAnsi="仿宋_GB2312" w:eastAsia="仿宋_GB2312" w:cs="仿宋_GB2312"/>
          <w:color w:val="auto"/>
          <w:sz w:val="32"/>
          <w:szCs w:val="32"/>
          <w:lang w:val="en-US" w:eastAsia="zh-CN"/>
        </w:rPr>
        <w:t>罚款200元</w:t>
      </w:r>
      <w:r>
        <w:rPr>
          <w:rFonts w:hint="eastAsia" w:ascii="仿宋_GB2312" w:hAnsi="仿宋_GB2312" w:eastAsia="仿宋_GB2312" w:cs="仿宋_GB2312"/>
          <w:b w:val="0"/>
          <w:bCs w:val="0"/>
          <w:color w:val="auto"/>
          <w:sz w:val="32"/>
          <w:szCs w:val="32"/>
          <w:highlight w:val="none"/>
          <w:lang w:val="en-US" w:eastAsia="zh-CN"/>
        </w:rPr>
        <w:t>的行政处罚。</w:t>
      </w:r>
    </w:p>
    <w:p w14:paraId="7E162E65">
      <w:pPr>
        <w:keepNext w:val="0"/>
        <w:keepLines w:val="0"/>
        <w:pageBreakBefore w:val="0"/>
        <w:widowControl w:val="0"/>
        <w:kinsoku/>
        <w:wordWrap/>
        <w:overflowPunct/>
        <w:topLinePunct w:val="0"/>
        <w:autoSpaceDE w:val="0"/>
        <w:autoSpaceDN w:val="0"/>
        <w:bidi w:val="0"/>
        <w:adjustRightInd w:val="0"/>
        <w:snapToGrid/>
        <w:spacing w:line="500" w:lineRule="exact"/>
        <w:ind w:left="0" w:leftChars="0" w:right="0" w:rightChars="0" w:firstLine="640" w:firstLineChars="200"/>
        <w:jc w:val="both"/>
        <w:textAlignment w:val="auto"/>
        <w:outlineLvl w:val="9"/>
        <w:rPr>
          <w:rFonts w:hint="eastAsia"/>
          <w:color w:val="auto"/>
          <w:lang w:val="en-US" w:eastAsia="zh-CN"/>
        </w:rPr>
      </w:pPr>
      <w:r>
        <w:rPr>
          <w:rFonts w:hint="eastAsia" w:ascii="仿宋_GB2312" w:hAnsi="仿宋_GB2312" w:eastAsia="仿宋_GB2312" w:cs="仿宋_GB2312"/>
          <w:b w:val="0"/>
          <w:bCs w:val="0"/>
          <w:color w:val="auto"/>
          <w:sz w:val="32"/>
          <w:szCs w:val="32"/>
          <w:highlight w:val="none"/>
          <w:lang w:val="en-US" w:eastAsia="zh-CN"/>
        </w:rPr>
        <w:t>对于当事人经</w:t>
      </w:r>
      <w:r>
        <w:rPr>
          <w:rFonts w:hint="eastAsia" w:ascii="仿宋_GB2312" w:hAnsi="仿宋_GB2312" w:eastAsia="仿宋_GB2312" w:cs="仿宋_GB2312"/>
          <w:b w:val="0"/>
          <w:bCs w:val="0"/>
          <w:color w:val="auto"/>
          <w:kern w:val="2"/>
          <w:sz w:val="32"/>
          <w:szCs w:val="32"/>
          <w:highlight w:val="none"/>
          <w:lang w:val="en-US" w:eastAsia="zh-CN" w:bidi="ar-SA"/>
        </w:rPr>
        <w:t>营标签不符合规定的产品的行为，依据《中华人民共和国产品质量法》第五十四条第一款“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r>
        <w:rPr>
          <w:rFonts w:hint="eastAsia" w:ascii="仿宋_GB2312" w:hAnsi="仿宋_GB2312" w:eastAsia="仿宋_GB2312" w:cs="仿宋_GB2312"/>
          <w:color w:val="auto"/>
          <w:sz w:val="32"/>
          <w:szCs w:val="32"/>
          <w:highlight w:val="none"/>
          <w:lang w:val="en-US" w:eastAsia="zh-CN"/>
        </w:rPr>
        <w:t>”的规定，我局决定责令当事人立即改正该违法行为。</w:t>
      </w:r>
    </w:p>
    <w:p w14:paraId="7740C431">
      <w:pPr>
        <w:keepNext w:val="0"/>
        <w:keepLines w:val="0"/>
        <w:pageBreakBefore w:val="0"/>
        <w:widowControl w:val="0"/>
        <w:kinsoku/>
        <w:wordWrap/>
        <w:overflowPunct/>
        <w:topLinePunct w:val="0"/>
        <w:autoSpaceDE w:val="0"/>
        <w:autoSpaceDN w:val="0"/>
        <w:bidi w:val="0"/>
        <w:adjustRightInd w:val="0"/>
        <w:snapToGrid/>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综上，</w:t>
      </w:r>
      <w:r>
        <w:rPr>
          <w:rFonts w:hint="eastAsia" w:ascii="仿宋_GB2312" w:hAnsi="仿宋_GB2312" w:eastAsia="仿宋_GB2312" w:cs="仿宋_GB2312"/>
          <w:b w:val="0"/>
          <w:bCs w:val="0"/>
          <w:color w:val="auto"/>
          <w:sz w:val="32"/>
          <w:szCs w:val="32"/>
          <w:highlight w:val="none"/>
          <w:lang w:val="en-US" w:eastAsia="zh-CN"/>
        </w:rPr>
        <w:t>我局决定</w:t>
      </w:r>
      <w:r>
        <w:rPr>
          <w:rFonts w:hint="eastAsia" w:ascii="仿宋_GB2312" w:hAnsi="仿宋_GB2312" w:eastAsia="仿宋_GB2312" w:cs="仿宋_GB2312"/>
          <w:color w:val="auto"/>
          <w:kern w:val="0"/>
          <w:sz w:val="32"/>
          <w:szCs w:val="32"/>
          <w:highlight w:val="none"/>
          <w:lang w:val="en-US" w:eastAsia="zh-CN" w:bidi="ar-SA"/>
        </w:rPr>
        <w:t>责令</w:t>
      </w:r>
      <w:r>
        <w:rPr>
          <w:rFonts w:hint="eastAsia" w:ascii="仿宋_GB2312" w:hAnsi="仿宋_GB2312" w:eastAsia="仿宋_GB2312" w:cs="仿宋_GB2312"/>
          <w:bCs/>
          <w:color w:val="auto"/>
          <w:sz w:val="32"/>
          <w:szCs w:val="32"/>
          <w:highlight w:val="none"/>
          <w:lang w:val="en-US" w:eastAsia="zh-CN" w:bidi="ar-SA"/>
        </w:rPr>
        <w:t>当事人</w:t>
      </w:r>
      <w:r>
        <w:rPr>
          <w:rFonts w:hint="eastAsia" w:ascii="仿宋_GB2312" w:hAnsi="仿宋_GB2312" w:eastAsia="仿宋_GB2312" w:cs="仿宋_GB2312"/>
          <w:color w:val="auto"/>
          <w:sz w:val="32"/>
          <w:szCs w:val="32"/>
          <w:highlight w:val="none"/>
          <w:lang w:val="en-US" w:eastAsia="zh-CN" w:bidi="ar-SA"/>
        </w:rPr>
        <w:t>立即改正上述违法</w:t>
      </w:r>
      <w:r>
        <w:rPr>
          <w:rFonts w:hint="eastAsia" w:ascii="仿宋_GB2312" w:hAnsi="仿宋_GB2312" w:eastAsia="仿宋_GB2312" w:cs="仿宋_GB2312"/>
          <w:color w:val="auto"/>
          <w:kern w:val="2"/>
          <w:sz w:val="32"/>
          <w:szCs w:val="32"/>
          <w:highlight w:val="none"/>
          <w:lang w:val="en-US" w:eastAsia="zh-CN" w:bidi="ar-SA"/>
        </w:rPr>
        <w:t>行为，并给予以下行政处罚：</w:t>
      </w:r>
    </w:p>
    <w:p w14:paraId="6C39D52F">
      <w:pPr>
        <w:keepNext w:val="0"/>
        <w:keepLines w:val="0"/>
        <w:pageBreakBefore w:val="0"/>
        <w:widowControl/>
        <w:numPr>
          <w:ilvl w:val="0"/>
          <w:numId w:val="1"/>
        </w:numPr>
        <w:suppressLineNumbers w:val="0"/>
        <w:kinsoku/>
        <w:wordWrap/>
        <w:overflowPunct/>
        <w:topLinePunct w:val="0"/>
        <w:bidi w:val="0"/>
        <w:snapToGrid/>
        <w:spacing w:before="0" w:beforeAutospacing="0" w:after="0" w:afterAutospacing="0" w:line="500" w:lineRule="exact"/>
        <w:ind w:left="0" w:leftChars="0" w:right="0" w:rightChars="0" w:firstLine="640" w:firstLineChars="200"/>
        <w:jc w:val="left"/>
        <w:textAlignment w:val="auto"/>
        <w:outlineLvl w:val="9"/>
        <w:rPr>
          <w:rFonts w:hint="eastAsia" w:ascii="仿宋_GB2312" w:hAnsi="仿宋_GB2312" w:eastAsia="仿宋_GB2312" w:cs="仿宋_GB2312"/>
          <w:bCs/>
          <w:color w:val="auto"/>
          <w:kern w:val="0"/>
          <w:sz w:val="32"/>
          <w:szCs w:val="32"/>
          <w:highlight w:val="none"/>
          <w:lang w:val="en-US" w:eastAsia="zh-CN" w:bidi="ar"/>
        </w:rPr>
      </w:pPr>
      <w:r>
        <w:rPr>
          <w:rFonts w:hint="eastAsia" w:ascii="仿宋_GB2312" w:hAnsi="仿宋_GB2312" w:eastAsia="仿宋_GB2312" w:cs="仿宋_GB2312"/>
          <w:b w:val="0"/>
          <w:bCs w:val="0"/>
          <w:color w:val="auto"/>
          <w:sz w:val="32"/>
          <w:szCs w:val="32"/>
          <w:highlight w:val="none"/>
          <w:lang w:val="en-US" w:eastAsia="zh-CN"/>
        </w:rPr>
        <w:t>没收</w:t>
      </w:r>
      <w:r>
        <w:rPr>
          <w:rFonts w:hint="eastAsia" w:ascii="仿宋_GB2312" w:hAnsi="仿宋_GB2312" w:eastAsia="仿宋_GB2312" w:cs="仿宋_GB2312"/>
          <w:color w:val="auto"/>
          <w:sz w:val="32"/>
          <w:szCs w:val="32"/>
          <w:u w:val="none"/>
          <w:lang w:val="en-US" w:eastAsia="zh-CN"/>
        </w:rPr>
        <w:t>超过保质期的</w:t>
      </w:r>
      <w:r>
        <w:rPr>
          <w:rFonts w:hint="eastAsia" w:ascii="仿宋_GB2312" w:hAnsi="仿宋_GB2312" w:eastAsia="仿宋_GB2312" w:cs="仿宋_GB2312"/>
          <w:color w:val="auto"/>
          <w:sz w:val="32"/>
          <w:szCs w:val="32"/>
          <w:lang w:val="en-US" w:eastAsia="zh-CN"/>
        </w:rPr>
        <w:t>熙博士·富硒石榴酒</w:t>
      </w:r>
      <w:r>
        <w:rPr>
          <w:rFonts w:hint="eastAsia" w:ascii="仿宋_GB2312" w:hAnsi="仿宋" w:eastAsia="仿宋_GB2312" w:cs="仿宋"/>
          <w:color w:val="auto"/>
          <w:sz w:val="32"/>
          <w:szCs w:val="32"/>
          <w:lang w:val="en-US" w:eastAsia="zh-CN"/>
        </w:rPr>
        <w:t>1瓶</w:t>
      </w:r>
      <w:r>
        <w:rPr>
          <w:rFonts w:hint="eastAsia" w:ascii="仿宋_GB2312" w:hAnsi="仿宋_GB2312" w:eastAsia="仿宋_GB2312" w:cs="仿宋_GB2312"/>
          <w:bCs/>
          <w:color w:val="auto"/>
          <w:kern w:val="0"/>
          <w:sz w:val="32"/>
          <w:szCs w:val="32"/>
          <w:highlight w:val="none"/>
          <w:lang w:val="en-US" w:eastAsia="zh-CN" w:bidi="ar"/>
        </w:rPr>
        <w:t>；</w:t>
      </w:r>
    </w:p>
    <w:p w14:paraId="636DB80F">
      <w:pPr>
        <w:keepNext w:val="0"/>
        <w:keepLines w:val="0"/>
        <w:pageBreakBefore w:val="0"/>
        <w:widowControl/>
        <w:numPr>
          <w:ilvl w:val="0"/>
          <w:numId w:val="1"/>
        </w:numPr>
        <w:suppressLineNumbers w:val="0"/>
        <w:kinsoku/>
        <w:wordWrap/>
        <w:overflowPunct/>
        <w:topLinePunct w:val="0"/>
        <w:bidi w:val="0"/>
        <w:snapToGrid/>
        <w:spacing w:before="0" w:beforeAutospacing="0" w:after="0" w:afterAutospacing="0" w:line="500" w:lineRule="exact"/>
        <w:ind w:left="0" w:leftChars="0" w:right="0" w:rightChars="0" w:firstLine="640" w:firstLineChars="200"/>
        <w:jc w:val="left"/>
        <w:textAlignment w:val="auto"/>
        <w:outlineLvl w:val="9"/>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罚款2200元。</w:t>
      </w:r>
    </w:p>
    <w:p w14:paraId="37E91A98">
      <w:pPr>
        <w:pStyle w:val="15"/>
        <w:keepLines w:val="0"/>
        <w:pageBreakBefore w:val="0"/>
        <w:kinsoku/>
        <w:overflowPunct/>
        <w:topLinePunct w:val="0"/>
        <w:bidi w:val="0"/>
        <w:snapToGrid/>
        <w:spacing w:line="500" w:lineRule="exact"/>
        <w:ind w:firstLine="640" w:firstLineChars="200"/>
        <w:rPr>
          <w:rFonts w:hint="eastAsia" w:ascii="仿宋_GB2312" w:hAnsi="仿宋_GB2312" w:eastAsia="仿宋_GB2312" w:cs="仿宋_GB2312"/>
          <w:bCs/>
          <w:strike w:val="0"/>
          <w:dstrike w:val="0"/>
          <w:color w:val="auto"/>
          <w:sz w:val="32"/>
          <w:szCs w:val="32"/>
          <w:lang w:val="en-US" w:eastAsia="zh-CN"/>
        </w:rPr>
      </w:pPr>
      <w:r>
        <w:rPr>
          <w:rFonts w:hint="eastAsia" w:ascii="仿宋_GB2312" w:hAnsi="仿宋_GB2312" w:eastAsia="仿宋_GB2312" w:cs="仿宋_GB2312"/>
          <w:color w:val="auto"/>
          <w:sz w:val="32"/>
          <w:szCs w:val="32"/>
          <w:u w:val="none"/>
        </w:rPr>
        <w:t>当事人应当自收到本行政处罚决定书之日起十五日内，凭《广西壮族自治区非税收入电子缴款通知书》到中国建设银行</w:t>
      </w:r>
      <w:r>
        <w:rPr>
          <w:rFonts w:hint="eastAsia" w:ascii="仿宋_GB2312" w:hAnsi="Times New Roman" w:eastAsia="仿宋_GB2312" w:cs="Times New Roman"/>
          <w:color w:val="auto"/>
          <w:sz w:val="32"/>
          <w:szCs w:val="32"/>
          <w:highlight w:val="none"/>
          <w:u w:val="none"/>
          <w:lang w:val="en-US" w:eastAsia="zh-CN"/>
        </w:rPr>
        <w:t>或柳州银行缴纳上述款项（附言备注20位缴款通知书编号）</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逾</w:t>
      </w:r>
      <w:r>
        <w:rPr>
          <w:rFonts w:hint="eastAsia" w:ascii="仿宋_GB2312" w:hAnsi="仿宋_GB2312" w:eastAsia="仿宋_GB2312" w:cs="仿宋_GB2312"/>
          <w:color w:val="auto"/>
          <w:sz w:val="32"/>
          <w:szCs w:val="32"/>
          <w:u w:val="none"/>
        </w:rPr>
        <w:t>期不缴纳</w:t>
      </w:r>
      <w:r>
        <w:rPr>
          <w:rFonts w:hint="eastAsia" w:hAnsi="仿宋_GB2312" w:cs="仿宋_GB2312"/>
          <w:b w:val="0"/>
          <w:bCs w:val="0"/>
          <w:color w:val="auto"/>
          <w:sz w:val="32"/>
          <w:szCs w:val="32"/>
          <w:highlight w:val="none"/>
          <w:lang w:val="en-US" w:eastAsia="zh-CN"/>
        </w:rPr>
        <w:t>上述</w:t>
      </w:r>
      <w:r>
        <w:rPr>
          <w:rFonts w:hint="eastAsia" w:hAnsi="仿宋_GB2312" w:cs="仿宋_GB2312"/>
          <w:color w:val="auto"/>
          <w:sz w:val="32"/>
          <w:szCs w:val="32"/>
          <w:u w:val="none"/>
          <w:lang w:eastAsia="zh-CN"/>
        </w:rPr>
        <w:t>罚款</w:t>
      </w:r>
      <w:r>
        <w:rPr>
          <w:rFonts w:hint="eastAsia" w:ascii="仿宋_GB2312" w:hAnsi="仿宋_GB2312" w:eastAsia="仿宋_GB2312" w:cs="仿宋_GB2312"/>
          <w:color w:val="auto"/>
          <w:sz w:val="32"/>
          <w:szCs w:val="32"/>
          <w:u w:val="none"/>
        </w:rPr>
        <w:t>的，依据《中华人民共和国行政处罚法》</w:t>
      </w:r>
      <w:r>
        <w:rPr>
          <w:rFonts w:hint="eastAsia" w:ascii="仿宋_GB2312" w:hAnsi="仿宋_GB2312" w:eastAsia="仿宋_GB2312" w:cs="仿宋_GB2312"/>
          <w:color w:val="auto"/>
          <w:kern w:val="0"/>
          <w:sz w:val="32"/>
          <w:szCs w:val="32"/>
          <w:u w:val="none"/>
          <w:lang w:val="en-US" w:eastAsia="zh-CN" w:bidi="ar"/>
        </w:rPr>
        <w:t>第七十二条</w:t>
      </w:r>
      <w:r>
        <w:rPr>
          <w:rFonts w:hint="eastAsia" w:hAnsi="仿宋_GB2312" w:cs="仿宋_GB2312"/>
          <w:color w:val="auto"/>
          <w:kern w:val="0"/>
          <w:sz w:val="32"/>
          <w:szCs w:val="32"/>
          <w:u w:val="none"/>
          <w:lang w:val="en-US" w:eastAsia="zh-CN" w:bidi="ar"/>
        </w:rPr>
        <w:t>和</w:t>
      </w:r>
      <w:r>
        <w:rPr>
          <w:rFonts w:hint="eastAsia" w:ascii="仿宋_GB2312" w:hAnsi="仿宋_GB2312" w:eastAsia="仿宋_GB2312" w:cs="仿宋_GB2312"/>
          <w:color w:val="auto"/>
          <w:sz w:val="32"/>
          <w:szCs w:val="32"/>
          <w:u w:val="none"/>
        </w:rPr>
        <w:t>《</w:t>
      </w:r>
      <w:r>
        <w:rPr>
          <w:rFonts w:hint="eastAsia" w:hAnsi="仿宋_GB2312" w:cs="仿宋_GB2312"/>
          <w:color w:val="auto"/>
          <w:sz w:val="32"/>
          <w:szCs w:val="32"/>
          <w:u w:val="none"/>
          <w:lang w:eastAsia="zh-CN"/>
        </w:rPr>
        <w:t>价格违法行为行政处罚规定</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第</w:t>
      </w:r>
      <w:r>
        <w:rPr>
          <w:rFonts w:hint="eastAsia" w:hAnsi="仿宋_GB2312" w:cs="仿宋_GB2312"/>
          <w:color w:val="auto"/>
          <w:sz w:val="32"/>
          <w:szCs w:val="32"/>
          <w:u w:val="none"/>
          <w:lang w:val="en-US" w:eastAsia="zh-CN"/>
        </w:rPr>
        <w:t>二十一</w:t>
      </w:r>
      <w:r>
        <w:rPr>
          <w:rFonts w:hint="eastAsia" w:ascii="仿宋_GB2312" w:hAnsi="仿宋_GB2312" w:eastAsia="仿宋_GB2312" w:cs="仿宋_GB2312"/>
          <w:color w:val="auto"/>
          <w:sz w:val="32"/>
          <w:szCs w:val="32"/>
          <w:u w:val="none"/>
          <w:lang w:val="en-US" w:eastAsia="zh-CN"/>
        </w:rPr>
        <w:t>条</w:t>
      </w:r>
      <w:r>
        <w:rPr>
          <w:rFonts w:hint="eastAsia" w:ascii="仿宋_GB2312" w:hAnsi="仿宋_GB2312" w:eastAsia="仿宋_GB2312" w:cs="仿宋_GB2312"/>
          <w:color w:val="auto"/>
          <w:sz w:val="32"/>
          <w:szCs w:val="32"/>
          <w:u w:val="none"/>
        </w:rPr>
        <w:t>的规定，我局将</w:t>
      </w:r>
      <w:r>
        <w:rPr>
          <w:rFonts w:hint="eastAsia" w:ascii="仿宋_GB2312" w:hAnsi="仿宋_GB2312" w:eastAsia="仿宋_GB2312" w:cs="仿宋_GB2312"/>
          <w:bCs/>
          <w:color w:val="auto"/>
          <w:sz w:val="32"/>
          <w:szCs w:val="32"/>
          <w:u w:val="none"/>
        </w:rPr>
        <w:t>每日按罚款数额的百分之三加处罚款，并</w:t>
      </w:r>
      <w:r>
        <w:rPr>
          <w:rFonts w:hint="eastAsia" w:ascii="仿宋_GB2312" w:hAnsi="仿宋_GB2312" w:eastAsia="仿宋_GB2312" w:cs="仿宋_GB2312"/>
          <w:color w:val="auto"/>
          <w:sz w:val="32"/>
          <w:szCs w:val="32"/>
          <w:u w:val="none"/>
        </w:rPr>
        <w:t>依法申请人民法院强制执行</w:t>
      </w:r>
      <w:r>
        <w:rPr>
          <w:rFonts w:hint="eastAsia" w:hAnsi="仿宋_GB2312" w:cs="仿宋_GB2312"/>
          <w:color w:val="auto"/>
          <w:sz w:val="32"/>
          <w:szCs w:val="32"/>
          <w:u w:val="none"/>
          <w:lang w:eastAsia="zh-CN"/>
        </w:rPr>
        <w:t>。</w:t>
      </w:r>
    </w:p>
    <w:p w14:paraId="7E191714">
      <w:pPr>
        <w:pStyle w:val="15"/>
        <w:keepNext w:val="0"/>
        <w:keepLines w:val="0"/>
        <w:pageBreakBefore w:val="0"/>
        <w:widowControl w:val="0"/>
        <w:kinsoku/>
        <w:wordWrap/>
        <w:overflowPunct/>
        <w:topLinePunct w:val="0"/>
        <w:bidi w:val="0"/>
        <w:snapToGrid/>
        <w:spacing w:line="500" w:lineRule="exact"/>
        <w:ind w:left="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Cs/>
          <w:color w:val="auto"/>
          <w:sz w:val="32"/>
          <w:szCs w:val="32"/>
          <w:u w:val="none" w:color="auto"/>
          <w:lang w:val="en-US" w:eastAsia="zh-CN"/>
        </w:rPr>
        <w:t>当事人如不服</w:t>
      </w:r>
      <w:r>
        <w:rPr>
          <w:rFonts w:hint="eastAsia" w:hAnsi="仿宋_GB2312" w:cs="仿宋_GB2312"/>
          <w:bCs/>
          <w:color w:val="auto"/>
          <w:sz w:val="32"/>
          <w:szCs w:val="32"/>
          <w:u w:val="none" w:color="auto"/>
          <w:lang w:val="en-US" w:eastAsia="zh-CN"/>
        </w:rPr>
        <w:t>对</w:t>
      </w:r>
      <w:r>
        <w:rPr>
          <w:rFonts w:hint="eastAsia" w:ascii="仿宋_GB2312" w:hAnsi="仿宋_GB2312" w:eastAsia="仿宋_GB2312" w:cs="仿宋_GB2312"/>
          <w:b w:val="0"/>
          <w:bCs w:val="0"/>
          <w:color w:val="auto"/>
          <w:sz w:val="32"/>
          <w:szCs w:val="32"/>
          <w:highlight w:val="none"/>
          <w:lang w:val="en-US" w:eastAsia="zh-CN"/>
        </w:rPr>
        <w:t>经营超过保质期的食品的行为</w:t>
      </w:r>
      <w:r>
        <w:rPr>
          <w:rFonts w:hint="eastAsia" w:hAnsi="仿宋_GB2312" w:cs="仿宋_GB2312"/>
          <w:b w:val="0"/>
          <w:bCs w:val="0"/>
          <w:color w:val="auto"/>
          <w:sz w:val="32"/>
          <w:szCs w:val="32"/>
          <w:highlight w:val="none"/>
          <w:lang w:val="en-US" w:eastAsia="zh-CN"/>
        </w:rPr>
        <w:t>的</w:t>
      </w:r>
      <w:r>
        <w:rPr>
          <w:rFonts w:hint="eastAsia" w:ascii="仿宋_GB2312" w:hAnsi="仿宋_GB2312" w:eastAsia="仿宋_GB2312" w:cs="仿宋_GB2312"/>
          <w:bCs/>
          <w:color w:val="auto"/>
          <w:sz w:val="32"/>
          <w:szCs w:val="32"/>
          <w:u w:val="none" w:color="auto"/>
          <w:lang w:val="en-US" w:eastAsia="zh-CN"/>
        </w:rPr>
        <w:t>行政处罚决定，可以在接到本行政处罚决定书之日起六十日内向柳州市柳北区人民政府申请行政复议</w:t>
      </w:r>
      <w:r>
        <w:rPr>
          <w:rFonts w:hint="eastAsia" w:hAnsi="仿宋_GB2312" w:cs="仿宋_GB2312"/>
          <w:bCs/>
          <w:color w:val="auto"/>
          <w:sz w:val="32"/>
          <w:szCs w:val="32"/>
          <w:u w:val="none" w:color="auto"/>
          <w:lang w:val="en-US" w:eastAsia="zh-CN"/>
        </w:rPr>
        <w:t>，</w:t>
      </w:r>
      <w:r>
        <w:rPr>
          <w:rFonts w:hint="eastAsia" w:ascii="仿宋_GB2312" w:hAnsi="仿宋_GB2312" w:eastAsia="仿宋_GB2312" w:cs="仿宋_GB2312"/>
          <w:bCs/>
          <w:color w:val="auto"/>
          <w:sz w:val="32"/>
          <w:szCs w:val="32"/>
          <w:u w:val="none" w:color="auto"/>
          <w:lang w:val="en-US" w:eastAsia="zh-CN"/>
        </w:rPr>
        <w:t>也可以在六个月内依法向柳州市柳南区人民法院提起行政诉讼</w:t>
      </w:r>
      <w:r>
        <w:rPr>
          <w:rFonts w:hint="eastAsia" w:hAnsi="仿宋_GB2312" w:cs="仿宋_GB2312"/>
          <w:bCs/>
          <w:color w:val="auto"/>
          <w:sz w:val="32"/>
          <w:szCs w:val="32"/>
          <w:u w:val="none" w:color="auto"/>
          <w:lang w:val="en-US" w:eastAsia="zh-CN"/>
        </w:rPr>
        <w:t>；</w:t>
      </w:r>
      <w:r>
        <w:rPr>
          <w:rFonts w:hint="eastAsia" w:ascii="仿宋_GB2312" w:hAnsi="仿宋_GB2312" w:eastAsia="仿宋_GB2312" w:cs="仿宋_GB2312"/>
          <w:bCs/>
          <w:color w:val="auto"/>
          <w:sz w:val="32"/>
          <w:szCs w:val="32"/>
          <w:u w:val="none" w:color="auto"/>
          <w:lang w:val="en-US" w:eastAsia="zh-CN"/>
        </w:rPr>
        <w:t>如不服对经营上述食品未明码标价的行为的行政处罚决定，可以在接到本行政处罚决定书之日起六十日内向柳州市柳北区人民政府申请行政复议</w:t>
      </w:r>
      <w:r>
        <w:rPr>
          <w:rFonts w:hint="eastAsia" w:hAnsi="仿宋_GB2312" w:cs="仿宋_GB2312"/>
          <w:bCs/>
          <w:color w:val="auto"/>
          <w:sz w:val="32"/>
          <w:szCs w:val="32"/>
          <w:u w:val="none" w:color="auto"/>
          <w:lang w:val="en-US" w:eastAsia="zh-CN"/>
        </w:rPr>
        <w:t>。</w:t>
      </w:r>
      <w:r>
        <w:rPr>
          <w:rFonts w:hint="eastAsia" w:ascii="仿宋_GB2312" w:hAnsi="仿宋_GB2312" w:eastAsia="仿宋_GB2312" w:cs="仿宋_GB2312"/>
          <w:bCs/>
          <w:color w:val="auto"/>
          <w:sz w:val="32"/>
          <w:szCs w:val="32"/>
          <w:u w:val="none" w:color="auto"/>
          <w:lang w:val="en-US" w:eastAsia="zh-CN"/>
        </w:rPr>
        <w:t>申请行政复议或者提起行政诉讼期间，行政处罚不停止执行。</w:t>
      </w:r>
      <w:bookmarkStart w:id="1" w:name="_GoBack"/>
      <w:bookmarkEnd w:id="1"/>
    </w:p>
    <w:p w14:paraId="54F8AC98">
      <w:pPr>
        <w:keepNext w:val="0"/>
        <w:keepLines w:val="0"/>
        <w:pageBreakBefore w:val="0"/>
        <w:widowControl w:val="0"/>
        <w:kinsoku/>
        <w:wordWrap/>
        <w:overflowPunct/>
        <w:topLinePunct w:val="0"/>
        <w:autoSpaceDE/>
        <w:autoSpaceDN/>
        <w:bidi w:val="0"/>
        <w:snapToGrid/>
        <w:spacing w:line="500" w:lineRule="exact"/>
        <w:ind w:firstLine="4480" w:firstLineChars="1400"/>
        <w:jc w:val="left"/>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柳州市柳北区市场监督管理局</w:t>
      </w:r>
    </w:p>
    <w:p w14:paraId="0968FDFF">
      <w:pPr>
        <w:keepNext w:val="0"/>
        <w:keepLines w:val="0"/>
        <w:pageBreakBefore w:val="0"/>
        <w:widowControl w:val="0"/>
        <w:kinsoku/>
        <w:wordWrap/>
        <w:overflowPunct/>
        <w:topLinePunct w:val="0"/>
        <w:autoSpaceDE/>
        <w:autoSpaceDN/>
        <w:bidi w:val="0"/>
        <w:snapToGrid/>
        <w:spacing w:line="500" w:lineRule="exact"/>
        <w:ind w:firstLine="640" w:firstLineChars="200"/>
        <w:jc w:val="left"/>
        <w:rPr>
          <w:rFonts w:hint="eastAsia" w:ascii="黑体" w:hAnsi="黑体" w:eastAsia="黑体" w:cs="黑体"/>
          <w:b w:val="0"/>
          <w:bCs w:val="0"/>
          <w:color w:val="auto"/>
          <w:w w:val="98"/>
          <w:sz w:val="32"/>
          <w:szCs w:val="32"/>
          <w:lang w:eastAsia="zh-CN"/>
        </w:rPr>
      </w:pPr>
      <w:r>
        <w:rPr>
          <w:rFonts w:hint="eastAsia" w:ascii="仿宋_GB2312" w:hAnsi="仿宋_GB2312" w:eastAsia="仿宋_GB2312" w:cs="仿宋_GB2312"/>
          <w:color w:val="auto"/>
          <w:sz w:val="32"/>
          <w:szCs w:val="32"/>
          <w:u w:val="none"/>
          <w:lang w:eastAsia="zh-CN"/>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202</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u w:val="none"/>
          <w:lang w:eastAsia="zh-CN"/>
        </w:rPr>
        <w:t>年</w:t>
      </w:r>
      <w:r>
        <w:rPr>
          <w:rFonts w:hint="eastAsia" w:ascii="仿宋_GB2312" w:hAnsi="仿宋_GB2312" w:eastAsia="仿宋_GB2312" w:cs="仿宋_GB2312"/>
          <w:color w:val="auto"/>
          <w:sz w:val="32"/>
          <w:szCs w:val="32"/>
          <w:u w:val="none"/>
          <w:lang w:val="en-US" w:eastAsia="zh-CN"/>
        </w:rPr>
        <w:t>9</w:t>
      </w:r>
      <w:r>
        <w:rPr>
          <w:rFonts w:hint="eastAsia" w:ascii="仿宋_GB2312" w:hAnsi="仿宋_GB2312" w:eastAsia="仿宋_GB2312" w:cs="仿宋_GB2312"/>
          <w:color w:val="auto"/>
          <w:sz w:val="32"/>
          <w:szCs w:val="32"/>
          <w:u w:val="none"/>
          <w:lang w:eastAsia="zh-CN"/>
        </w:rPr>
        <w:t>月</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lang w:eastAsia="zh-CN"/>
        </w:rPr>
        <w:t>日</w:t>
      </w:r>
    </w:p>
    <w:p w14:paraId="6FBDA973">
      <w:pPr>
        <w:keepNext w:val="0"/>
        <w:keepLines w:val="0"/>
        <w:pageBreakBefore w:val="0"/>
        <w:widowControl w:val="0"/>
        <w:kinsoku/>
        <w:wordWrap/>
        <w:overflowPunct/>
        <w:topLinePunct w:val="0"/>
        <w:autoSpaceDE/>
        <w:autoSpaceDN/>
        <w:bidi w:val="0"/>
        <w:adjustRightInd/>
        <w:snapToGrid/>
        <w:spacing w:line="500" w:lineRule="exact"/>
        <w:ind w:left="0" w:leftChars="0" w:right="-105" w:rightChars="-50"/>
        <w:jc w:val="both"/>
        <w:textAlignment w:val="auto"/>
        <w:outlineLvl w:val="9"/>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w w:val="98"/>
          <w:sz w:val="32"/>
          <w:szCs w:val="32"/>
          <w:lang w:eastAsia="zh-CN"/>
        </w:rPr>
        <w:t>（市场监督管理部门将依法向社会公开行政处罚决定信息）</w:t>
      </w:r>
    </w:p>
    <w:p w14:paraId="115B875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auto"/>
          <w:sz w:val="32"/>
          <w:szCs w:val="32"/>
        </w:rPr>
      </w:pPr>
      <w:r>
        <w:rPr>
          <w:color w:val="auto"/>
          <w:sz w:val="32"/>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60288;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Dyi0wAAAAcBAAAPAAAAAAAAAAEAIAAAACIAAABkcnMvZG93bnJldi54bWxQ&#10;SwECFAAUAAAACACHTuJAsSI0PPwBAAD0AwAADgAAAAAAAAABACAAAAAiAQAAZHJzL2Uyb0RvYy54&#10;bWxQSwUGAAAAAAYABgBZAQAAkAU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32"/>
          <w:szCs w:val="32"/>
          <w:lang w:eastAsia="zh-CN"/>
        </w:rPr>
        <w:t>本文书一式三份，一份送达，一份归档</w:t>
      </w:r>
      <w:r>
        <w:rPr>
          <w:rFonts w:hint="eastAsia" w:ascii="仿宋_GB2312" w:hAnsi="仿宋_GB2312" w:eastAsia="仿宋_GB2312" w:cs="仿宋_GB2312"/>
          <w:color w:val="auto"/>
          <w:sz w:val="32"/>
          <w:szCs w:val="32"/>
        </w:rPr>
        <w:t>，一份</w:t>
      </w:r>
      <w:r>
        <w:rPr>
          <w:rFonts w:hint="eastAsia" w:ascii="仿宋_GB2312" w:hAnsi="仿宋_GB2312" w:eastAsia="仿宋_GB2312" w:cs="仿宋_GB2312"/>
          <w:color w:val="auto"/>
          <w:sz w:val="32"/>
          <w:szCs w:val="32"/>
          <w:lang w:eastAsia="zh-CN"/>
        </w:rPr>
        <w:t>办案机构</w:t>
      </w:r>
      <w:r>
        <w:rPr>
          <w:rFonts w:hint="eastAsia" w:ascii="仿宋_GB2312" w:hAnsi="仿宋_GB2312" w:eastAsia="仿宋_GB2312" w:cs="仿宋_GB2312"/>
          <w:color w:val="auto"/>
          <w:sz w:val="32"/>
          <w:szCs w:val="32"/>
        </w:rPr>
        <w:t>留存</w:t>
      </w:r>
      <w:r>
        <w:rPr>
          <w:rFonts w:hint="eastAsia" w:ascii="仿宋_GB2312" w:hAnsi="仿宋_GB2312" w:eastAsia="仿宋_GB2312" w:cs="仿宋_GB2312"/>
          <w:color w:val="auto"/>
          <w:sz w:val="32"/>
          <w:szCs w:val="32"/>
          <w:lang w:eastAsia="zh-CN"/>
        </w:rPr>
        <w:t>。</w:t>
      </w:r>
    </w:p>
    <w:sectPr>
      <w:headerReference r:id="rId3" w:type="default"/>
      <w:footerReference r:id="rId4" w:type="default"/>
      <w:pgSz w:w="11906" w:h="16838"/>
      <w:pgMar w:top="1247" w:right="1417" w:bottom="1304" w:left="1417" w:header="851" w:footer="85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79871">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B72542">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5CB72542">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9128">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B77874"/>
    <w:multiLevelType w:val="singleLevel"/>
    <w:tmpl w:val="BAB7787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5ZmI1NmM0NTFmZTU5ZDUyNjZiMTM4MjRlMDJmYTcifQ=="/>
    <w:docVar w:name="KSO_WPS_MARK_KEY" w:val="841dd4c2-fca9-4166-9264-b220990a38a4"/>
  </w:docVars>
  <w:rsids>
    <w:rsidRoot w:val="148273E2"/>
    <w:rsid w:val="000065F5"/>
    <w:rsid w:val="0004512F"/>
    <w:rsid w:val="00083C83"/>
    <w:rsid w:val="000B341C"/>
    <w:rsid w:val="001012C9"/>
    <w:rsid w:val="00142F2C"/>
    <w:rsid w:val="001C0503"/>
    <w:rsid w:val="00211B0C"/>
    <w:rsid w:val="00255EEE"/>
    <w:rsid w:val="002C2FAA"/>
    <w:rsid w:val="00357DAF"/>
    <w:rsid w:val="0036662C"/>
    <w:rsid w:val="00463B38"/>
    <w:rsid w:val="004B6721"/>
    <w:rsid w:val="00574F12"/>
    <w:rsid w:val="005E199B"/>
    <w:rsid w:val="005E309F"/>
    <w:rsid w:val="005F5BA5"/>
    <w:rsid w:val="006A6CB1"/>
    <w:rsid w:val="006C0007"/>
    <w:rsid w:val="006E7533"/>
    <w:rsid w:val="00704B12"/>
    <w:rsid w:val="0072741A"/>
    <w:rsid w:val="0074190D"/>
    <w:rsid w:val="00771A9E"/>
    <w:rsid w:val="0079623E"/>
    <w:rsid w:val="00817650"/>
    <w:rsid w:val="008739FF"/>
    <w:rsid w:val="008A0974"/>
    <w:rsid w:val="00955ECE"/>
    <w:rsid w:val="009C3AF3"/>
    <w:rsid w:val="00A62EC1"/>
    <w:rsid w:val="00B91F48"/>
    <w:rsid w:val="00BC4BAE"/>
    <w:rsid w:val="00BE07B0"/>
    <w:rsid w:val="00BE5339"/>
    <w:rsid w:val="00D05A34"/>
    <w:rsid w:val="00D82DEA"/>
    <w:rsid w:val="00D866B1"/>
    <w:rsid w:val="00DB475D"/>
    <w:rsid w:val="00DD449C"/>
    <w:rsid w:val="00DD743A"/>
    <w:rsid w:val="00E3129E"/>
    <w:rsid w:val="00EA4461"/>
    <w:rsid w:val="00F26908"/>
    <w:rsid w:val="00FC6549"/>
    <w:rsid w:val="00FD11C5"/>
    <w:rsid w:val="00FE2746"/>
    <w:rsid w:val="017862EE"/>
    <w:rsid w:val="01F12741"/>
    <w:rsid w:val="0328798D"/>
    <w:rsid w:val="04392B35"/>
    <w:rsid w:val="04751BF1"/>
    <w:rsid w:val="062A0A13"/>
    <w:rsid w:val="06F651DB"/>
    <w:rsid w:val="06FA6137"/>
    <w:rsid w:val="07C95455"/>
    <w:rsid w:val="08E602F7"/>
    <w:rsid w:val="09611CF3"/>
    <w:rsid w:val="0B57161B"/>
    <w:rsid w:val="0CB213C1"/>
    <w:rsid w:val="0CB74E19"/>
    <w:rsid w:val="0CF872FB"/>
    <w:rsid w:val="0D6177ED"/>
    <w:rsid w:val="0DA71FDE"/>
    <w:rsid w:val="0DBF10BD"/>
    <w:rsid w:val="0E803A75"/>
    <w:rsid w:val="0F7605E9"/>
    <w:rsid w:val="113B479A"/>
    <w:rsid w:val="117B63A4"/>
    <w:rsid w:val="11BD5D75"/>
    <w:rsid w:val="134617C9"/>
    <w:rsid w:val="13F30D47"/>
    <w:rsid w:val="14277F1E"/>
    <w:rsid w:val="1473140B"/>
    <w:rsid w:val="148273E2"/>
    <w:rsid w:val="1595472F"/>
    <w:rsid w:val="15AA17EA"/>
    <w:rsid w:val="169C3433"/>
    <w:rsid w:val="17E1120B"/>
    <w:rsid w:val="184F057B"/>
    <w:rsid w:val="186B5DC5"/>
    <w:rsid w:val="18EF05CB"/>
    <w:rsid w:val="1A745652"/>
    <w:rsid w:val="1AA55913"/>
    <w:rsid w:val="1AAB7A25"/>
    <w:rsid w:val="1B8A02C6"/>
    <w:rsid w:val="1C0F2E75"/>
    <w:rsid w:val="1C191BC6"/>
    <w:rsid w:val="1C220723"/>
    <w:rsid w:val="1CB15DE2"/>
    <w:rsid w:val="1E376B1E"/>
    <w:rsid w:val="1EB96323"/>
    <w:rsid w:val="1F352136"/>
    <w:rsid w:val="1F3603BC"/>
    <w:rsid w:val="1F3E2D68"/>
    <w:rsid w:val="1F4D1EE3"/>
    <w:rsid w:val="1F9E445E"/>
    <w:rsid w:val="1FED1911"/>
    <w:rsid w:val="20125CE0"/>
    <w:rsid w:val="20154E0E"/>
    <w:rsid w:val="208244E5"/>
    <w:rsid w:val="209122D7"/>
    <w:rsid w:val="2103322C"/>
    <w:rsid w:val="210E466E"/>
    <w:rsid w:val="23383DAC"/>
    <w:rsid w:val="23E34743"/>
    <w:rsid w:val="24E55852"/>
    <w:rsid w:val="255D34FA"/>
    <w:rsid w:val="25912C02"/>
    <w:rsid w:val="26603C6E"/>
    <w:rsid w:val="26A36964"/>
    <w:rsid w:val="26B87CE7"/>
    <w:rsid w:val="27D00EE0"/>
    <w:rsid w:val="27D34EBD"/>
    <w:rsid w:val="2941559E"/>
    <w:rsid w:val="29581DDE"/>
    <w:rsid w:val="297B6BA3"/>
    <w:rsid w:val="299E6AAB"/>
    <w:rsid w:val="29A4154C"/>
    <w:rsid w:val="2A7A5040"/>
    <w:rsid w:val="2AFD6B9E"/>
    <w:rsid w:val="2B155476"/>
    <w:rsid w:val="2B157B4F"/>
    <w:rsid w:val="2B424F07"/>
    <w:rsid w:val="2C13787F"/>
    <w:rsid w:val="2C421DD7"/>
    <w:rsid w:val="2C7F6960"/>
    <w:rsid w:val="2CA70D16"/>
    <w:rsid w:val="2CF1764D"/>
    <w:rsid w:val="2D002F4F"/>
    <w:rsid w:val="2D1C6BF7"/>
    <w:rsid w:val="2E6F5DB2"/>
    <w:rsid w:val="30BD5513"/>
    <w:rsid w:val="30E338A2"/>
    <w:rsid w:val="31091780"/>
    <w:rsid w:val="31DC529A"/>
    <w:rsid w:val="323E5D53"/>
    <w:rsid w:val="34243D12"/>
    <w:rsid w:val="35FC3C1B"/>
    <w:rsid w:val="371F7D71"/>
    <w:rsid w:val="37EF7C5B"/>
    <w:rsid w:val="390D0746"/>
    <w:rsid w:val="39794D00"/>
    <w:rsid w:val="3A782F8A"/>
    <w:rsid w:val="3C297ADF"/>
    <w:rsid w:val="3DE333C0"/>
    <w:rsid w:val="3DE843F8"/>
    <w:rsid w:val="3E376AA4"/>
    <w:rsid w:val="3E5354C4"/>
    <w:rsid w:val="3EBB37DF"/>
    <w:rsid w:val="3F2A4B8B"/>
    <w:rsid w:val="403D16C2"/>
    <w:rsid w:val="41711ECE"/>
    <w:rsid w:val="41DF1A8D"/>
    <w:rsid w:val="4257288A"/>
    <w:rsid w:val="433340CF"/>
    <w:rsid w:val="43FA7BFE"/>
    <w:rsid w:val="44C07632"/>
    <w:rsid w:val="451218A7"/>
    <w:rsid w:val="461F1F60"/>
    <w:rsid w:val="46943C0F"/>
    <w:rsid w:val="47EC3EAF"/>
    <w:rsid w:val="498639D8"/>
    <w:rsid w:val="4A207916"/>
    <w:rsid w:val="4A4D113D"/>
    <w:rsid w:val="4C2B4DFE"/>
    <w:rsid w:val="4C3E6663"/>
    <w:rsid w:val="4DA93FB0"/>
    <w:rsid w:val="4DD5222C"/>
    <w:rsid w:val="4E6B3369"/>
    <w:rsid w:val="4EB80EAB"/>
    <w:rsid w:val="4F3E18EA"/>
    <w:rsid w:val="4F7324E1"/>
    <w:rsid w:val="4FD74F00"/>
    <w:rsid w:val="4FEB2D6E"/>
    <w:rsid w:val="503468E2"/>
    <w:rsid w:val="5151276C"/>
    <w:rsid w:val="51A716B6"/>
    <w:rsid w:val="51E62234"/>
    <w:rsid w:val="525A401C"/>
    <w:rsid w:val="53E923EE"/>
    <w:rsid w:val="53FC7230"/>
    <w:rsid w:val="544E6F61"/>
    <w:rsid w:val="5473232C"/>
    <w:rsid w:val="549E3B5B"/>
    <w:rsid w:val="55763B22"/>
    <w:rsid w:val="55BA5430"/>
    <w:rsid w:val="56D63107"/>
    <w:rsid w:val="574B68BA"/>
    <w:rsid w:val="57B61447"/>
    <w:rsid w:val="582740A9"/>
    <w:rsid w:val="592077C9"/>
    <w:rsid w:val="597A3332"/>
    <w:rsid w:val="599F5B19"/>
    <w:rsid w:val="59DB1995"/>
    <w:rsid w:val="5A1C4013"/>
    <w:rsid w:val="5AFF3EF1"/>
    <w:rsid w:val="5B343756"/>
    <w:rsid w:val="5CBD218A"/>
    <w:rsid w:val="5CC36333"/>
    <w:rsid w:val="5D275EBF"/>
    <w:rsid w:val="5EC865B0"/>
    <w:rsid w:val="5F9F2A6C"/>
    <w:rsid w:val="61544F71"/>
    <w:rsid w:val="61B40B70"/>
    <w:rsid w:val="61E70572"/>
    <w:rsid w:val="637F3FE6"/>
    <w:rsid w:val="63E72995"/>
    <w:rsid w:val="657D4ABD"/>
    <w:rsid w:val="659356E0"/>
    <w:rsid w:val="65C32D01"/>
    <w:rsid w:val="67261A9A"/>
    <w:rsid w:val="67C96ED8"/>
    <w:rsid w:val="688A1A9D"/>
    <w:rsid w:val="68FF6B48"/>
    <w:rsid w:val="691D477F"/>
    <w:rsid w:val="699E35BB"/>
    <w:rsid w:val="6A014483"/>
    <w:rsid w:val="6A19339F"/>
    <w:rsid w:val="6A22066F"/>
    <w:rsid w:val="6A3A7FB1"/>
    <w:rsid w:val="6AE63EBF"/>
    <w:rsid w:val="6C0F4EEF"/>
    <w:rsid w:val="6C5808AF"/>
    <w:rsid w:val="6CE3459B"/>
    <w:rsid w:val="6D383727"/>
    <w:rsid w:val="6EEE43BE"/>
    <w:rsid w:val="6F7B3B73"/>
    <w:rsid w:val="6F855001"/>
    <w:rsid w:val="6FB73C30"/>
    <w:rsid w:val="6FCB74A9"/>
    <w:rsid w:val="70966D10"/>
    <w:rsid w:val="70A73F1B"/>
    <w:rsid w:val="70A82C64"/>
    <w:rsid w:val="7135211F"/>
    <w:rsid w:val="71365A01"/>
    <w:rsid w:val="71A06C04"/>
    <w:rsid w:val="71F667BD"/>
    <w:rsid w:val="72175D9C"/>
    <w:rsid w:val="72A509A5"/>
    <w:rsid w:val="72D355FA"/>
    <w:rsid w:val="73127625"/>
    <w:rsid w:val="73AA52D4"/>
    <w:rsid w:val="73DE1526"/>
    <w:rsid w:val="74BE07C3"/>
    <w:rsid w:val="74CD4654"/>
    <w:rsid w:val="766E07C6"/>
    <w:rsid w:val="77EB7D5B"/>
    <w:rsid w:val="780B0124"/>
    <w:rsid w:val="78414B3A"/>
    <w:rsid w:val="785D036F"/>
    <w:rsid w:val="787616BF"/>
    <w:rsid w:val="790C18B2"/>
    <w:rsid w:val="79714248"/>
    <w:rsid w:val="798A2050"/>
    <w:rsid w:val="79965BD7"/>
    <w:rsid w:val="7A420DE6"/>
    <w:rsid w:val="7A69737E"/>
    <w:rsid w:val="7A9F6060"/>
    <w:rsid w:val="7AB81C3A"/>
    <w:rsid w:val="7B3A48B6"/>
    <w:rsid w:val="7C0C2E6D"/>
    <w:rsid w:val="7C8232CF"/>
    <w:rsid w:val="7CCB6FCD"/>
    <w:rsid w:val="7D5C1627"/>
    <w:rsid w:val="7D85227D"/>
    <w:rsid w:val="7E635C01"/>
    <w:rsid w:val="7E662974"/>
    <w:rsid w:val="7EAF4003"/>
    <w:rsid w:val="7F9B2857"/>
    <w:rsid w:val="7FFD0F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29"/>
    <w:qFormat/>
    <w:uiPriority w:val="0"/>
    <w:pPr>
      <w:tabs>
        <w:tab w:val="center" w:pos="4153"/>
        <w:tab w:val="right" w:pos="8306"/>
      </w:tabs>
      <w:snapToGrid w:val="0"/>
      <w:jc w:val="left"/>
    </w:pPr>
    <w:rPr>
      <w:sz w:val="18"/>
      <w:szCs w:val="18"/>
    </w:rPr>
  </w:style>
  <w:style w:type="paragraph" w:styleId="3">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style>
  <w:style w:type="character" w:styleId="8">
    <w:name w:val="FollowedHyperlink"/>
    <w:basedOn w:val="6"/>
    <w:qFormat/>
    <w:uiPriority w:val="0"/>
    <w:rPr>
      <w:color w:val="000000"/>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Variable"/>
    <w:basedOn w:val="6"/>
    <w:qFormat/>
    <w:uiPriority w:val="0"/>
  </w:style>
  <w:style w:type="character" w:styleId="12">
    <w:name w:val="Hyperlink"/>
    <w:basedOn w:val="6"/>
    <w:qFormat/>
    <w:uiPriority w:val="0"/>
    <w:rPr>
      <w:color w:val="000000"/>
      <w:u w:val="none"/>
    </w:rPr>
  </w:style>
  <w:style w:type="character" w:styleId="13">
    <w:name w:val="HTML Code"/>
    <w:basedOn w:val="6"/>
    <w:qFormat/>
    <w:uiPriority w:val="0"/>
    <w:rPr>
      <w:rFonts w:ascii="Courier New" w:hAnsi="Courier New"/>
      <w:sz w:val="20"/>
    </w:rPr>
  </w:style>
  <w:style w:type="character" w:styleId="14">
    <w:name w:val="HTML Cite"/>
    <w:basedOn w:val="6"/>
    <w:qFormat/>
    <w:uiPriority w:val="0"/>
  </w:style>
  <w:style w:type="paragraph" w:customStyle="1" w:styleId="1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6">
    <w:name w:val="first-child"/>
    <w:basedOn w:val="6"/>
    <w:qFormat/>
    <w:uiPriority w:val="0"/>
  </w:style>
  <w:style w:type="character" w:customStyle="1" w:styleId="17">
    <w:name w:val="layui-layer-tabnow"/>
    <w:basedOn w:val="6"/>
    <w:qFormat/>
    <w:uiPriority w:val="0"/>
    <w:rPr>
      <w:bdr w:val="single" w:color="CCCCCC" w:sz="6" w:space="0"/>
      <w:shd w:val="clear" w:color="auto" w:fill="FFFFFF"/>
    </w:rPr>
  </w:style>
  <w:style w:type="character" w:customStyle="1" w:styleId="18">
    <w:name w:val="x-tab-strip-text"/>
    <w:basedOn w:val="6"/>
    <w:qFormat/>
    <w:uiPriority w:val="0"/>
    <w:rPr>
      <w:color w:val="111111"/>
    </w:rPr>
  </w:style>
  <w:style w:type="character" w:customStyle="1" w:styleId="19">
    <w:name w:val="x-tab-strip-text1"/>
    <w:basedOn w:val="6"/>
    <w:qFormat/>
    <w:uiPriority w:val="0"/>
  </w:style>
  <w:style w:type="character" w:customStyle="1" w:styleId="20">
    <w:name w:val="x-tab-strip-text2"/>
    <w:basedOn w:val="6"/>
    <w:qFormat/>
    <w:uiPriority w:val="0"/>
    <w:rPr>
      <w:rFonts w:hint="eastAsia" w:ascii="宋体" w:hAnsi="宋体" w:eastAsia="宋体" w:cs="宋体"/>
      <w:color w:val="333333"/>
      <w:sz w:val="21"/>
      <w:szCs w:val="21"/>
    </w:rPr>
  </w:style>
  <w:style w:type="character" w:customStyle="1" w:styleId="21">
    <w:name w:val="x-tab-strip-text3"/>
    <w:basedOn w:val="6"/>
    <w:qFormat/>
    <w:uiPriority w:val="0"/>
  </w:style>
  <w:style w:type="character" w:customStyle="1" w:styleId="22">
    <w:name w:val="x-tab-strip-text4"/>
    <w:basedOn w:val="6"/>
    <w:qFormat/>
    <w:uiPriority w:val="0"/>
    <w:rPr>
      <w:b/>
      <w:color w:val="15428B"/>
    </w:rPr>
  </w:style>
  <w:style w:type="character" w:customStyle="1" w:styleId="23">
    <w:name w:val="x-tab-strip-text5"/>
    <w:basedOn w:val="6"/>
    <w:qFormat/>
    <w:uiPriority w:val="0"/>
  </w:style>
  <w:style w:type="character" w:customStyle="1" w:styleId="24">
    <w:name w:val="active1"/>
    <w:basedOn w:val="6"/>
    <w:qFormat/>
    <w:uiPriority w:val="0"/>
    <w:rPr>
      <w:color w:val="00FF00"/>
      <w:shd w:val="clear" w:color="auto" w:fill="000000"/>
    </w:rPr>
  </w:style>
  <w:style w:type="character" w:customStyle="1" w:styleId="25">
    <w:name w:val="hilite6"/>
    <w:basedOn w:val="6"/>
    <w:qFormat/>
    <w:uiPriority w:val="0"/>
    <w:rPr>
      <w:color w:val="FFFFFF"/>
      <w:shd w:val="clear" w:color="auto" w:fill="886666"/>
    </w:rPr>
  </w:style>
  <w:style w:type="character" w:customStyle="1" w:styleId="26">
    <w:name w:val="active7"/>
    <w:basedOn w:val="6"/>
    <w:qFormat/>
    <w:uiPriority w:val="0"/>
    <w:rPr>
      <w:color w:val="00FF00"/>
      <w:shd w:val="clear" w:color="auto" w:fill="000000"/>
    </w:rPr>
  </w:style>
  <w:style w:type="character" w:customStyle="1" w:styleId="27">
    <w:name w:val="hilite5"/>
    <w:basedOn w:val="6"/>
    <w:qFormat/>
    <w:uiPriority w:val="0"/>
    <w:rPr>
      <w:color w:val="FFFFFF"/>
      <w:shd w:val="clear" w:color="auto" w:fill="886666"/>
    </w:rPr>
  </w:style>
  <w:style w:type="character" w:customStyle="1" w:styleId="28">
    <w:name w:val="页眉 Char"/>
    <w:basedOn w:val="6"/>
    <w:link w:val="3"/>
    <w:qFormat/>
    <w:uiPriority w:val="0"/>
    <w:rPr>
      <w:rFonts w:asciiTheme="minorHAnsi" w:hAnsiTheme="minorHAnsi" w:eastAsiaTheme="minorEastAsia" w:cstheme="minorBidi"/>
      <w:kern w:val="2"/>
      <w:sz w:val="18"/>
      <w:szCs w:val="18"/>
    </w:rPr>
  </w:style>
  <w:style w:type="character" w:customStyle="1" w:styleId="29">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3341</Words>
  <Characters>3448</Characters>
  <Lines>11</Lines>
  <Paragraphs>3</Paragraphs>
  <TotalTime>17</TotalTime>
  <ScaleCrop>false</ScaleCrop>
  <LinksUpToDate>false</LinksUpToDate>
  <CharactersWithSpaces>3504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2019-06-18T07:59:00Z</dcterms:created>
  <dc:creator>Judy~</dc:creator>
  <cp:lastModifiedBy>蕃蕃</cp:lastModifiedBy>
  <cp:lastPrinted>2026-07-20T08:02:00Z</cp:lastPrinted>
  <dcterms:modified xsi:type="dcterms:W3CDTF">2026-09-03T01:40:08Z</dcterms:modified>
  <dc:title>柳州市柳北区市场监督管理局</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ABA5863254B1402DA06351EBC2878FB3_13</vt:lpwstr>
  </property>
  <property fmtid="{D5CDD505-2E9C-101B-9397-08002B2CF9AE}" pid="4" name="KSOTemplateDocerSaveRecord">
    <vt:lpwstr>eyJoZGlkIjoiNjljYzBiNmJkNjNmYjA3MDkwNzQ4ZTM5NDc1MTY5NDgiLCJ1c2VySWQiOiI5MTQwNjk2NTMifQ==</vt:lpwstr>
  </property>
</Properties>
</file>