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BAA3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柳州市柳北区市场监督管理局</w:t>
      </w:r>
    </w:p>
    <w:p w14:paraId="2A27D2F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行政处罚决定书</w:t>
      </w:r>
    </w:p>
    <w:p w14:paraId="3EE96C6E">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color w:val="auto"/>
          <w:sz w:val="32"/>
          <w:szCs w:val="32"/>
          <w:u w:val="none"/>
          <w:lang w:eastAsia="zh-CN"/>
        </w:rPr>
      </w:pPr>
      <w:r>
        <w:rPr>
          <w:rFonts w:hint="eastAsia" w:ascii="仿宋_GB2312" w:hAnsi="仿宋_GB2312" w:eastAsia="仿宋_GB2312" w:cs="仿宋_GB2312"/>
          <w:color w:val="auto"/>
          <w:sz w:val="32"/>
          <w:szCs w:val="32"/>
        </w:rPr>
        <w:t>柳北市监</w:t>
      </w:r>
      <w:r>
        <w:rPr>
          <w:rFonts w:hint="eastAsia" w:ascii="仿宋_GB2312" w:hAnsi="仿宋_GB2312" w:eastAsia="仿宋_GB2312" w:cs="仿宋_GB2312"/>
          <w:color w:val="auto"/>
          <w:sz w:val="32"/>
          <w:szCs w:val="32"/>
          <w:lang w:eastAsia="zh-CN"/>
        </w:rPr>
        <w:t>处罚</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2026</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93</w:t>
      </w:r>
      <w:r>
        <w:rPr>
          <w:rFonts w:hint="eastAsia" w:ascii="仿宋_GB2312" w:hAnsi="仿宋_GB2312" w:eastAsia="仿宋_GB2312" w:cs="仿宋_GB2312"/>
          <w:color w:val="auto"/>
          <w:sz w:val="32"/>
          <w:szCs w:val="32"/>
        </w:rPr>
        <w:t>号</w:t>
      </w:r>
    </w:p>
    <w:p w14:paraId="5C6A9373">
      <w:pPr>
        <w:pStyle w:val="2"/>
        <w:keepNext w:val="0"/>
        <w:keepLines w:val="0"/>
        <w:pageBreakBefore w:val="0"/>
        <w:widowControl w:val="0"/>
        <w:kinsoku/>
        <w:wordWrap/>
        <w:overflowPunct/>
        <w:topLinePunct w:val="0"/>
        <w:autoSpaceDE w:val="0"/>
        <w:autoSpaceDN w:val="0"/>
        <w:bidi w:val="0"/>
        <w:adjustRightInd w:val="0"/>
        <w:snapToGrid/>
        <w:spacing w:line="420" w:lineRule="exact"/>
        <w:ind w:left="0" w:leftChars="0" w:right="0" w:rightChars="0" w:firstLine="0" w:firstLineChars="0"/>
        <w:jc w:val="left"/>
        <w:textAlignment w:val="auto"/>
        <w:outlineLvl w:val="9"/>
        <w:rPr>
          <w:rFonts w:hint="eastAsia" w:ascii="仿宋_GB2312" w:hAnsi="仿宋_GB2312" w:eastAsia="仿宋_GB2312" w:cs="仿宋_GB2312"/>
          <w:color w:val="auto"/>
          <w:sz w:val="32"/>
          <w:szCs w:val="32"/>
          <w:lang w:val="en-US" w:eastAsia="zh-CN"/>
        </w:rPr>
      </w:pPr>
    </w:p>
    <w:p w14:paraId="54D3E93D">
      <w:pPr>
        <w:keepNext w:val="0"/>
        <w:keepLines w:val="0"/>
        <w:pageBreakBefore w:val="0"/>
        <w:widowControl w:val="0"/>
        <w:kinsoku/>
        <w:wordWrap/>
        <w:overflowPunct/>
        <w:topLinePunct w:val="0"/>
        <w:bidi w:val="0"/>
        <w:adjustRightInd w:val="0"/>
        <w:spacing w:line="500" w:lineRule="exact"/>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当事人：</w:t>
      </w:r>
      <w:r>
        <w:rPr>
          <w:rFonts w:hint="eastAsia" w:ascii="仿宋_GB2312" w:hAnsi="仿宋" w:eastAsia="仿宋_GB2312" w:cs="仿宋"/>
          <w:color w:val="auto"/>
          <w:sz w:val="32"/>
          <w:szCs w:val="32"/>
          <w:lang w:val="en-US" w:eastAsia="zh-CN"/>
        </w:rPr>
        <w:t>向运芝</w:t>
      </w:r>
    </w:p>
    <w:p w14:paraId="46143224">
      <w:pPr>
        <w:keepNext w:val="0"/>
        <w:keepLines w:val="0"/>
        <w:pageBreakBefore w:val="0"/>
        <w:widowControl w:val="0"/>
        <w:kinsoku/>
        <w:wordWrap/>
        <w:overflowPunct/>
        <w:topLinePunct w:val="0"/>
        <w:autoSpaceDE w:val="0"/>
        <w:autoSpaceDN w:val="0"/>
        <w:bidi w:val="0"/>
        <w:adjustRightInd w:val="0"/>
        <w:spacing w:line="500" w:lineRule="exact"/>
        <w:rPr>
          <w:rFonts w:hint="eastAsia" w:ascii="仿宋_GB2312" w:hAnsi="仿宋_GB2312" w:eastAsia="仿宋_GB2312" w:cs="仿宋_GB2312"/>
          <w:color w:val="auto"/>
          <w:sz w:val="32"/>
          <w:szCs w:val="32"/>
          <w:u w:val="none"/>
          <w:lang w:val="en-US" w:eastAsia="zh-CN" w:bidi="ar-SA"/>
        </w:rPr>
      </w:pPr>
      <w:r>
        <w:rPr>
          <w:rFonts w:hint="eastAsia" w:ascii="仿宋_GB2312" w:hAnsi="仿宋_GB2312" w:eastAsia="仿宋_GB2312" w:cs="仿宋_GB2312"/>
          <w:color w:val="auto"/>
          <w:sz w:val="32"/>
          <w:szCs w:val="32"/>
          <w:u w:val="none"/>
          <w:lang w:val="en-US" w:eastAsia="zh-CN" w:bidi="ar-SA"/>
        </w:rPr>
        <w:t>性别：</w:t>
      </w:r>
      <w:r>
        <w:rPr>
          <w:rFonts w:hint="eastAsia" w:ascii="仿宋_GB2312" w:hAnsi="仿宋_GB2312" w:eastAsia="仿宋_GB2312" w:cs="仿宋_GB2312"/>
          <w:color w:val="auto"/>
          <w:sz w:val="32"/>
          <w:szCs w:val="32"/>
          <w:lang w:val="en-US" w:eastAsia="zh-CN"/>
        </w:rPr>
        <w:t>女</w:t>
      </w:r>
    </w:p>
    <w:p w14:paraId="14DB6CA0">
      <w:pPr>
        <w:keepNext w:val="0"/>
        <w:keepLines w:val="0"/>
        <w:pageBreakBefore w:val="0"/>
        <w:widowControl w:val="0"/>
        <w:kinsoku/>
        <w:wordWrap/>
        <w:overflowPunct/>
        <w:topLinePunct w:val="0"/>
        <w:autoSpaceDE w:val="0"/>
        <w:autoSpaceDN w:val="0"/>
        <w:bidi w:val="0"/>
        <w:adjustRightInd w:val="0"/>
        <w:spacing w:line="500" w:lineRule="exact"/>
        <w:rPr>
          <w:rFonts w:hint="eastAsia" w:ascii="仿宋_GB2312" w:hAnsi="仿宋_GB2312" w:eastAsia="仿宋_GB2312" w:cs="仿宋_GB2312"/>
          <w:color w:val="auto"/>
          <w:sz w:val="32"/>
          <w:szCs w:val="32"/>
          <w:u w:val="none"/>
          <w:lang w:val="en-US" w:eastAsia="zh-CN" w:bidi="ar-SA"/>
        </w:rPr>
      </w:pPr>
      <w:r>
        <w:rPr>
          <w:rFonts w:hint="eastAsia" w:ascii="仿宋_GB2312" w:hAnsi="仿宋_GB2312" w:eastAsia="仿宋_GB2312" w:cs="仿宋_GB2312"/>
          <w:color w:val="auto"/>
          <w:sz w:val="32"/>
          <w:szCs w:val="32"/>
          <w:u w:val="none"/>
          <w:lang w:val="en-US" w:eastAsia="zh-CN" w:bidi="ar-SA"/>
        </w:rPr>
        <w:t>民族：</w:t>
      </w:r>
      <w:r>
        <w:rPr>
          <w:rFonts w:hint="eastAsia" w:ascii="仿宋_GB2312" w:hAnsi="仿宋" w:eastAsia="仿宋_GB2312" w:cs="仿宋"/>
          <w:color w:val="auto"/>
          <w:sz w:val="32"/>
          <w:szCs w:val="32"/>
          <w:lang w:val="en-US" w:eastAsia="zh-CN"/>
        </w:rPr>
        <w:t>汉</w:t>
      </w:r>
      <w:r>
        <w:rPr>
          <w:rFonts w:hint="eastAsia" w:ascii="仿宋_GB2312" w:hAnsi="仿宋_GB2312" w:eastAsia="仿宋_GB2312" w:cs="仿宋_GB2312"/>
          <w:color w:val="auto"/>
          <w:sz w:val="32"/>
          <w:szCs w:val="32"/>
          <w:lang w:val="en-US" w:eastAsia="zh-CN"/>
        </w:rPr>
        <w:t>族</w:t>
      </w:r>
    </w:p>
    <w:p w14:paraId="396C90F7">
      <w:pPr>
        <w:keepNext w:val="0"/>
        <w:keepLines w:val="0"/>
        <w:pageBreakBefore w:val="0"/>
        <w:widowControl w:val="0"/>
        <w:kinsoku/>
        <w:wordWrap/>
        <w:overflowPunct/>
        <w:topLinePunct w:val="0"/>
        <w:autoSpaceDE w:val="0"/>
        <w:autoSpaceDN w:val="0"/>
        <w:bidi w:val="0"/>
        <w:adjustRightInd w:val="0"/>
        <w:spacing w:line="500" w:lineRule="exact"/>
        <w:rPr>
          <w:rFonts w:hint="eastAsia" w:ascii="仿宋_GB2312" w:hAnsi="仿宋_GB2312" w:eastAsia="仿宋_GB2312" w:cs="仿宋_GB2312"/>
          <w:color w:val="auto"/>
          <w:sz w:val="32"/>
          <w:szCs w:val="32"/>
          <w:u w:val="none"/>
          <w:lang w:val="en-US" w:eastAsia="zh-CN" w:bidi="ar-SA"/>
        </w:rPr>
      </w:pPr>
      <w:r>
        <w:rPr>
          <w:rFonts w:hint="eastAsia" w:ascii="仿宋_GB2312" w:hAnsi="仿宋_GB2312" w:eastAsia="仿宋_GB2312" w:cs="仿宋_GB2312"/>
          <w:color w:val="auto"/>
          <w:sz w:val="32"/>
          <w:szCs w:val="32"/>
          <w:u w:val="none"/>
          <w:lang w:val="en-US" w:eastAsia="zh-CN" w:bidi="ar-SA"/>
        </w:rPr>
        <w:t>出生日期：</w:t>
      </w:r>
      <w:r>
        <w:rPr>
          <w:rFonts w:hint="eastAsia" w:ascii="仿宋_GB2312" w:hAnsi="仿宋" w:eastAsia="仿宋_GB2312" w:cs="仿宋"/>
          <w:color w:val="auto"/>
          <w:sz w:val="32"/>
          <w:szCs w:val="32"/>
          <w:lang w:val="en-US" w:eastAsia="zh-CN"/>
        </w:rPr>
        <w:t>*</w:t>
      </w:r>
      <w:bookmarkStart w:id="3" w:name="_GoBack"/>
      <w:bookmarkEnd w:id="3"/>
    </w:p>
    <w:p w14:paraId="611B0982">
      <w:pPr>
        <w:keepNext w:val="0"/>
        <w:keepLines w:val="0"/>
        <w:pageBreakBefore w:val="0"/>
        <w:widowControl w:val="0"/>
        <w:kinsoku/>
        <w:wordWrap/>
        <w:overflowPunct/>
        <w:topLinePunct w:val="0"/>
        <w:bidi w:val="0"/>
        <w:adjustRightInd w:val="0"/>
        <w:spacing w:line="500" w:lineRule="exact"/>
        <w:textAlignment w:val="baseline"/>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u w:val="none"/>
          <w:lang w:val="en-US" w:eastAsia="zh-CN"/>
        </w:rPr>
        <w:t>身份证件号码：</w:t>
      </w:r>
      <w:r>
        <w:rPr>
          <w:rFonts w:hint="eastAsia" w:ascii="仿宋_GB2312" w:hAnsi="仿宋" w:eastAsia="仿宋_GB2312" w:cs="仿宋"/>
          <w:color w:val="auto"/>
          <w:sz w:val="32"/>
          <w:szCs w:val="32"/>
          <w:lang w:val="en-US" w:eastAsia="zh-CN"/>
        </w:rPr>
        <w:t>*</w:t>
      </w:r>
    </w:p>
    <w:p w14:paraId="0DCCD72D">
      <w:pPr>
        <w:keepNext w:val="0"/>
        <w:keepLines w:val="0"/>
        <w:pageBreakBefore w:val="0"/>
        <w:widowControl w:val="0"/>
        <w:kinsoku/>
        <w:wordWrap/>
        <w:overflowPunct/>
        <w:topLinePunct w:val="0"/>
        <w:autoSpaceDE w:val="0"/>
        <w:autoSpaceDN w:val="0"/>
        <w:bidi w:val="0"/>
        <w:adjustRightInd w:val="0"/>
        <w:spacing w:line="500" w:lineRule="exact"/>
        <w:rPr>
          <w:rFonts w:hint="default" w:ascii="仿宋_GB2312" w:hAnsi="仿宋_GB2312" w:eastAsia="仿宋_GB2312" w:cs="仿宋_GB2312"/>
          <w:color w:val="auto"/>
          <w:sz w:val="32"/>
          <w:szCs w:val="32"/>
          <w:u w:val="none"/>
          <w:lang w:val="en-US" w:eastAsia="zh-CN" w:bidi="ar-SA"/>
        </w:rPr>
      </w:pPr>
      <w:r>
        <w:rPr>
          <w:rFonts w:hint="eastAsia" w:ascii="仿宋_GB2312" w:hAnsi="仿宋_GB2312" w:eastAsia="仿宋_GB2312" w:cs="仿宋_GB2312"/>
          <w:color w:val="auto"/>
          <w:sz w:val="32"/>
          <w:szCs w:val="32"/>
          <w:u w:val="none"/>
          <w:lang w:val="en-US" w:eastAsia="zh-CN" w:bidi="ar-SA"/>
        </w:rPr>
        <w:t>联系电话：</w:t>
      </w:r>
      <w:r>
        <w:rPr>
          <w:rFonts w:hint="eastAsia" w:ascii="仿宋_GB2312" w:hAnsi="仿宋" w:eastAsia="仿宋_GB2312" w:cs="仿宋"/>
          <w:color w:val="auto"/>
          <w:sz w:val="32"/>
          <w:szCs w:val="32"/>
          <w:u w:val="none"/>
          <w:lang w:val="en-US" w:eastAsia="zh-CN"/>
        </w:rPr>
        <w:t>*</w:t>
      </w:r>
    </w:p>
    <w:p w14:paraId="55E6CB73">
      <w:pPr>
        <w:keepNext w:val="0"/>
        <w:keepLines w:val="0"/>
        <w:pageBreakBefore w:val="0"/>
        <w:widowControl w:val="0"/>
        <w:kinsoku/>
        <w:wordWrap/>
        <w:overflowPunct/>
        <w:topLinePunct w:val="0"/>
        <w:autoSpaceDE/>
        <w:autoSpaceDN/>
        <w:bidi w:val="0"/>
        <w:adjustRightInd/>
        <w:snapToGrid/>
        <w:spacing w:line="500" w:lineRule="exact"/>
        <w:ind w:right="0" w:rightChars="0"/>
        <w:textAlignment w:val="auto"/>
        <w:rPr>
          <w:rFonts w:hint="default" w:ascii="仿宋_GB2312" w:hAnsi="仿宋_GB2312" w:eastAsia="仿宋_GB2312" w:cs="仿宋_GB2312"/>
          <w:color w:val="auto"/>
          <w:sz w:val="32"/>
          <w:szCs w:val="32"/>
          <w:u w:val="none"/>
          <w:lang w:val="en-US" w:eastAsia="zh-CN" w:bidi="ar-SA"/>
        </w:rPr>
      </w:pPr>
      <w:r>
        <w:rPr>
          <w:rFonts w:hint="eastAsia" w:ascii="仿宋_GB2312" w:hAnsi="仿宋_GB2312" w:eastAsia="仿宋_GB2312" w:cs="仿宋_GB2312"/>
          <w:color w:val="auto"/>
          <w:sz w:val="32"/>
          <w:szCs w:val="32"/>
          <w:u w:val="none"/>
          <w:lang w:val="en-US" w:eastAsia="zh-CN" w:bidi="ar-SA"/>
        </w:rPr>
        <w:t>住址：</w:t>
      </w:r>
      <w:r>
        <w:rPr>
          <w:rFonts w:hint="eastAsia" w:ascii="仿宋_GB2312" w:hAnsi="仿宋" w:eastAsia="仿宋_GB2312" w:cs="仿宋"/>
          <w:color w:val="auto"/>
          <w:sz w:val="32"/>
          <w:szCs w:val="32"/>
          <w:u w:val="none"/>
          <w:lang w:val="en-US" w:eastAsia="zh-CN"/>
        </w:rPr>
        <w:t>广西融水苗族自治县*</w:t>
      </w:r>
    </w:p>
    <w:p w14:paraId="5EB44FCC">
      <w:pPr>
        <w:pStyle w:val="2"/>
        <w:keepNext w:val="0"/>
        <w:keepLines w:val="0"/>
        <w:pageBreakBefore w:val="0"/>
        <w:widowControl w:val="0"/>
        <w:kinsoku/>
        <w:wordWrap/>
        <w:overflowPunct/>
        <w:topLinePunct w:val="0"/>
        <w:bidi w:val="0"/>
        <w:spacing w:line="500" w:lineRule="exact"/>
        <w:rPr>
          <w:rFonts w:hint="eastAsia" w:ascii="仿宋_GB2312" w:hAnsi="仿宋_GB2312" w:eastAsia="仿宋_GB2312" w:cs="仿宋_GB2312"/>
          <w:color w:val="auto"/>
          <w:sz w:val="32"/>
          <w:szCs w:val="32"/>
          <w:lang w:val="en-US" w:eastAsia="zh-CN"/>
        </w:rPr>
      </w:pPr>
    </w:p>
    <w:p w14:paraId="3AC3763D">
      <w:pPr>
        <w:keepNext w:val="0"/>
        <w:keepLines w:val="0"/>
        <w:pageBreakBefore w:val="0"/>
        <w:widowControl w:val="0"/>
        <w:kinsoku/>
        <w:wordWrap/>
        <w:overflowPunct/>
        <w:topLinePunct w:val="0"/>
        <w:bidi w:val="0"/>
        <w:snapToGrid/>
        <w:spacing w:line="500" w:lineRule="exact"/>
        <w:ind w:firstLine="640" w:firstLineChars="200"/>
        <w:textAlignment w:val="auto"/>
        <w:outlineLvl w:val="9"/>
        <w:rPr>
          <w:rFonts w:hint="eastAsia" w:ascii="仿宋_GB2312" w:hAnsi="仿宋_GB2312" w:eastAsia="仿宋_GB2312" w:cs="仿宋_GB2312"/>
          <w:color w:val="auto"/>
          <w:sz w:val="32"/>
          <w:szCs w:val="32"/>
          <w:lang w:eastAsia="zh-CN"/>
        </w:rPr>
      </w:pPr>
      <w:bookmarkStart w:id="0" w:name="CALCULATE—QZCS—tAjqzcses_qzcsxx"/>
      <w:bookmarkEnd w:id="0"/>
      <w:r>
        <w:rPr>
          <w:rFonts w:hint="eastAsia" w:ascii="仿宋_GB2312" w:hAnsi="仿宋_GB2312" w:eastAsia="仿宋_GB2312" w:cs="仿宋_GB2312"/>
          <w:color w:val="auto"/>
          <w:sz w:val="32"/>
          <w:szCs w:val="32"/>
          <w:lang w:eastAsia="zh-CN"/>
        </w:rPr>
        <w:t>2026年3月18日，我局执法人员联合柳州市城区烟草专卖局执法人员对当事人经营场所开展检查，当事人正在从事烟草制品零售并无法出示《营业执照》及《烟草专卖零售许可证》，当事人涉嫌违反《无证无照经营查处办法》第二条和《中华人民共和国烟草专卖法实施条例》第六条第一款的规定，为进一步查清事实，我局于2026年4月7日对当事人进行立案调查。</w:t>
      </w:r>
    </w:p>
    <w:p w14:paraId="63D33ACC">
      <w:pPr>
        <w:keepNext w:val="0"/>
        <w:keepLines w:val="0"/>
        <w:pageBreakBefore w:val="0"/>
        <w:widowControl w:val="0"/>
        <w:kinsoku/>
        <w:wordWrap/>
        <w:overflowPunct/>
        <w:topLinePunct w:val="0"/>
        <w:bidi w:val="0"/>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经查实，当事人于2025年12月开始，在未依法取得《营业执照》及《烟草专卖零售许可证》的情况下，在柳州市柳北区柳长路13号柳锌股份公司18分厂陆长耸自家内从事烟草制品零售活动，2026年3月18日被我局依法查获时，当事人所经营的烟草制品货值共4122元，因当事人在经营过程中未制作进销货台账，</w:t>
      </w:r>
      <w:r>
        <w:rPr>
          <w:rFonts w:hint="eastAsia" w:ascii="仿宋_GB2312" w:hAnsi="仿宋_GB2312" w:eastAsia="仿宋_GB2312" w:cs="仿宋_GB2312"/>
          <w:color w:val="auto"/>
          <w:sz w:val="32"/>
          <w:szCs w:val="32"/>
          <w:u w:val="none"/>
          <w:shd w:val="clear" w:color="auto" w:fill="FFFFFF"/>
          <w:lang w:eastAsia="zh-CN"/>
        </w:rPr>
        <w:t>也未保存相关票据，</w:t>
      </w:r>
      <w:r>
        <w:rPr>
          <w:rFonts w:hint="eastAsia" w:ascii="仿宋_GB2312" w:hAnsi="仿宋_GB2312" w:eastAsia="仿宋_GB2312" w:cs="仿宋_GB2312"/>
          <w:color w:val="auto"/>
          <w:sz w:val="32"/>
          <w:szCs w:val="32"/>
          <w:shd w:val="clear" w:color="auto" w:fill="FFFFFF"/>
        </w:rPr>
        <w:t>故利润无法计算。</w:t>
      </w:r>
    </w:p>
    <w:p w14:paraId="19F95221">
      <w:pPr>
        <w:keepNext w:val="0"/>
        <w:keepLines w:val="0"/>
        <w:pageBreakBefore w:val="0"/>
        <w:widowControl w:val="0"/>
        <w:kinsoku/>
        <w:wordWrap/>
        <w:overflowPunct/>
        <w:topLinePunct w:val="0"/>
        <w:bidi w:val="0"/>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val="0"/>
          <w:bCs w:val="0"/>
          <w:color w:val="auto"/>
          <w:sz w:val="32"/>
          <w:szCs w:val="32"/>
          <w:u w:val="none"/>
        </w:rPr>
        <w:t>上述事实，</w:t>
      </w:r>
      <w:r>
        <w:rPr>
          <w:rFonts w:hint="eastAsia" w:ascii="仿宋_GB2312" w:hAnsi="仿宋_GB2312" w:eastAsia="仿宋_GB2312" w:cs="仿宋_GB2312"/>
          <w:b w:val="0"/>
          <w:bCs w:val="0"/>
          <w:color w:val="auto"/>
          <w:sz w:val="32"/>
          <w:szCs w:val="32"/>
        </w:rPr>
        <w:t>主要有以下证据证明</w:t>
      </w:r>
      <w:r>
        <w:rPr>
          <w:rFonts w:hint="eastAsia" w:ascii="仿宋_GB2312" w:hAnsi="仿宋_GB2312" w:eastAsia="仿宋_GB2312" w:cs="仿宋_GB2312"/>
          <w:b w:val="0"/>
          <w:bCs w:val="0"/>
          <w:color w:val="auto"/>
          <w:sz w:val="32"/>
          <w:szCs w:val="32"/>
          <w:u w:val="none"/>
        </w:rPr>
        <w:t>：</w:t>
      </w:r>
    </w:p>
    <w:p w14:paraId="5C2E796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证据一：当事人身份证复印件，证明当事人的身份信息；</w:t>
      </w:r>
    </w:p>
    <w:p w14:paraId="26986C4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证据二：现场笔录1份、询问笔录1份，财物清单1份，证明当事人在未依法取得《营业执照》及《烟草专卖零售许可证》的情况下在柳州市柳北区柳长路13号柳锌股份公司18分厂陆长耸自家内从事烟草制品零售活动的事实；</w:t>
      </w:r>
    </w:p>
    <w:p w14:paraId="2580FD4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证据三：整改报告1份，证明当事人的整改情况；</w:t>
      </w:r>
    </w:p>
    <w:p w14:paraId="330C007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证据四：柳州市城区烟草专卖局涉案烟草专卖品核价表1份，证明当事人在未依法取得《营业执照》及《烟草专卖零售许可证》的情况下，零售烟草制品的涉案货值金额。</w:t>
      </w:r>
    </w:p>
    <w:p w14:paraId="64DD396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以上证据一至证据三均由当事人签名确认。</w:t>
      </w:r>
    </w:p>
    <w:p w14:paraId="055C665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eastAsia="zh-CN"/>
        </w:rPr>
        <w:t>我局于</w:t>
      </w:r>
      <w:r>
        <w:rPr>
          <w:rFonts w:hint="eastAsia" w:ascii="仿宋_GB2312" w:hAnsi="仿宋_GB2312" w:eastAsia="仿宋_GB2312" w:cs="仿宋_GB2312"/>
          <w:color w:val="auto"/>
          <w:sz w:val="32"/>
          <w:szCs w:val="32"/>
          <w:u w:val="none"/>
          <w:lang w:val="en-US" w:eastAsia="zh-CN"/>
        </w:rPr>
        <w:t>2026年7月22日向当事人送达了《行政处罚告知书》（柳北市监罚告〔2026〕75号），告知当事人我局拟作出行政处罚的事实、理由、依据、处罚内容及享有的权利。当事人在法定期限内未提出陈述、申辩。</w:t>
      </w:r>
    </w:p>
    <w:p w14:paraId="45C03650">
      <w:pPr>
        <w:keepNext w:val="0"/>
        <w:keepLines w:val="0"/>
        <w:pageBreakBefore w:val="0"/>
        <w:widowControl w:val="0"/>
        <w:kinsoku/>
        <w:wordWrap/>
        <w:overflowPunct/>
        <w:topLinePunct w:val="0"/>
        <w:bidi w:val="0"/>
        <w:snapToGrid/>
        <w:spacing w:line="5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rPr>
        <w:t>当事人的上述行为违反了</w:t>
      </w:r>
      <w:bookmarkStart w:id="1" w:name="OLE_LINK1"/>
      <w:r>
        <w:rPr>
          <w:rFonts w:hint="eastAsia" w:ascii="仿宋_GB2312" w:hAnsi="仿宋_GB2312" w:eastAsia="仿宋_GB2312" w:cs="仿宋_GB2312"/>
          <w:color w:val="auto"/>
          <w:sz w:val="32"/>
          <w:szCs w:val="32"/>
          <w:u w:val="none"/>
          <w:shd w:val="clear" w:color="auto" w:fill="FFFFFF"/>
        </w:rPr>
        <w:t>《无证无照经营查处办法》</w:t>
      </w:r>
      <w:r>
        <w:rPr>
          <w:rFonts w:hint="eastAsia" w:ascii="仿宋_GB2312" w:hAnsi="仿宋_GB2312" w:eastAsia="仿宋_GB2312" w:cs="仿宋_GB2312"/>
          <w:color w:val="auto"/>
          <w:sz w:val="32"/>
          <w:szCs w:val="32"/>
          <w:shd w:val="clear" w:color="auto" w:fill="FFFFFF"/>
        </w:rPr>
        <w:t>第二条</w:t>
      </w:r>
      <w:bookmarkEnd w:id="1"/>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任何单位或者个人不得违反法律、法规、国务院决定的规定，从事无证无照经营</w:t>
      </w:r>
      <w:r>
        <w:rPr>
          <w:rFonts w:hint="eastAsia" w:ascii="仿宋_GB2312" w:hAnsi="仿宋_GB2312" w:eastAsia="仿宋_GB2312" w:cs="仿宋_GB2312"/>
          <w:color w:val="auto"/>
          <w:sz w:val="32"/>
          <w:szCs w:val="32"/>
          <w:shd w:val="clear" w:color="auto" w:fill="FFFFFF"/>
          <w:lang w:eastAsia="zh-CN"/>
        </w:rPr>
        <w:t>。”及</w:t>
      </w:r>
      <w:r>
        <w:rPr>
          <w:rFonts w:hint="eastAsia" w:ascii="仿宋_GB2312" w:hAnsi="仿宋_GB2312" w:eastAsia="仿宋_GB2312" w:cs="仿宋_GB2312"/>
          <w:color w:val="auto"/>
          <w:sz w:val="32"/>
          <w:szCs w:val="32"/>
          <w:shd w:val="clear" w:color="auto" w:fill="FFFFFF"/>
        </w:rPr>
        <w:t>《中华人民共和国烟草专卖法实施条例》第六条第一款“从事烟草专卖品的生产、批发、零售业务，以及经营烟草专卖品进出口业务和经营外国烟草制品购销业务的，必须依照《烟草专卖法》和本条例的规定，申请领取烟草专卖许可证。”的规定，属于无证</w:t>
      </w:r>
      <w:r>
        <w:rPr>
          <w:rFonts w:hint="eastAsia" w:ascii="仿宋_GB2312" w:hAnsi="仿宋_GB2312" w:eastAsia="仿宋_GB2312" w:cs="仿宋_GB2312"/>
          <w:color w:val="auto"/>
          <w:sz w:val="32"/>
          <w:szCs w:val="32"/>
          <w:shd w:val="clear" w:color="auto" w:fill="FFFFFF"/>
          <w:lang w:eastAsia="zh-CN"/>
        </w:rPr>
        <w:t>无照</w:t>
      </w:r>
      <w:r>
        <w:rPr>
          <w:rFonts w:hint="eastAsia" w:ascii="仿宋_GB2312" w:hAnsi="仿宋_GB2312" w:eastAsia="仿宋_GB2312" w:cs="仿宋_GB2312"/>
          <w:color w:val="auto"/>
          <w:sz w:val="32"/>
          <w:szCs w:val="32"/>
          <w:shd w:val="clear" w:color="auto" w:fill="FFFFFF"/>
        </w:rPr>
        <w:t>零售烟草制品的行为</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pacing w:val="0"/>
          <w:sz w:val="32"/>
          <w:szCs w:val="32"/>
          <w:shd w:val="clear" w:color="auto" w:fill="FFFFFF"/>
          <w:lang w:eastAsia="zh-CN"/>
        </w:rPr>
        <w:t>违法经营额为</w:t>
      </w:r>
      <w:r>
        <w:rPr>
          <w:rFonts w:hint="eastAsia" w:ascii="仿宋_GB2312" w:hAnsi="仿宋_GB2312" w:eastAsia="仿宋_GB2312" w:cs="仿宋_GB2312"/>
          <w:color w:val="auto"/>
          <w:spacing w:val="0"/>
          <w:sz w:val="32"/>
          <w:szCs w:val="32"/>
          <w:shd w:val="clear" w:color="auto" w:fill="FFFFFF"/>
          <w:lang w:val="en-US" w:eastAsia="zh-CN"/>
        </w:rPr>
        <w:t>4122</w:t>
      </w:r>
      <w:r>
        <w:rPr>
          <w:rFonts w:hint="eastAsia" w:ascii="仿宋_GB2312" w:hAnsi="仿宋_GB2312" w:eastAsia="仿宋_GB2312" w:cs="仿宋_GB2312"/>
          <w:color w:val="auto"/>
          <w:spacing w:val="0"/>
          <w:sz w:val="32"/>
          <w:szCs w:val="32"/>
          <w:shd w:val="clear" w:color="auto" w:fill="FFFFFF"/>
        </w:rPr>
        <w:t>元</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
          <w:color w:val="auto"/>
          <w:sz w:val="32"/>
          <w:szCs w:val="32"/>
          <w:u w:val="none"/>
          <w:lang w:val="en-US" w:eastAsia="zh-CN"/>
        </w:rPr>
        <w:t>违法所得无法计算</w:t>
      </w:r>
      <w:r>
        <w:rPr>
          <w:rFonts w:hint="eastAsia" w:ascii="仿宋_GB2312" w:hAnsi="仿宋_GB2312" w:eastAsia="仿宋_GB2312" w:cs="仿宋_GB2312"/>
          <w:color w:val="auto"/>
          <w:spacing w:val="0"/>
          <w:sz w:val="32"/>
          <w:szCs w:val="32"/>
          <w:shd w:val="clear" w:color="auto" w:fill="FFFFFF"/>
          <w:lang w:eastAsia="zh-CN"/>
        </w:rPr>
        <w:t>。</w:t>
      </w:r>
    </w:p>
    <w:p w14:paraId="2B393F48">
      <w:pPr>
        <w:keepNext w:val="0"/>
        <w:keepLines w:val="0"/>
        <w:pageBreakBefore w:val="0"/>
        <w:widowControl w:val="0"/>
        <w:kinsoku/>
        <w:wordWrap/>
        <w:overflowPunct/>
        <w:topLinePunct w:val="0"/>
        <w:bidi w:val="0"/>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当事人的违法经营额</w:t>
      </w:r>
      <w:r>
        <w:rPr>
          <w:rFonts w:hint="eastAsia" w:ascii="仿宋_GB2312" w:hAnsi="仿宋_GB2312" w:eastAsia="仿宋_GB2312" w:cs="仿宋_GB2312"/>
          <w:color w:val="auto"/>
          <w:sz w:val="32"/>
          <w:szCs w:val="32"/>
          <w:shd w:val="clear" w:color="auto" w:fill="FFFFFF"/>
          <w:lang w:val="en-US" w:eastAsia="zh-CN"/>
        </w:rPr>
        <w:t>不足一万元</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shd w:val="clear" w:color="auto" w:fill="FFFFFF"/>
          <w:lang w:val="en-US" w:eastAsia="zh-CN"/>
        </w:rPr>
        <w:t>具有《广西壮族自治区市场监督管理行政处罚裁量基准（2023版）》中《烟草专卖法实施条例》行政处罚裁量基准“</w:t>
      </w:r>
      <w:r>
        <w:rPr>
          <w:rFonts w:hint="eastAsia" w:ascii="仿宋_GB2312" w:hAnsi="仿宋_GB2312" w:eastAsia="仿宋_GB2312" w:cs="仿宋_GB2312"/>
          <w:color w:val="auto"/>
          <w:sz w:val="32"/>
          <w:szCs w:val="32"/>
          <w:shd w:val="clear" w:color="auto" w:fill="FFFFFF"/>
          <w:lang w:eastAsia="zh-CN"/>
        </w:rPr>
        <w:t>责令停止经营烟草制品零售业务，没收违法所得，处以违法经营总额20%以上29%以下的罚款。”</w:t>
      </w:r>
      <w:r>
        <w:rPr>
          <w:rFonts w:hint="eastAsia" w:ascii="仿宋_GB2312" w:hAnsi="仿宋_GB2312" w:eastAsia="仿宋_GB2312" w:cs="仿宋_GB2312"/>
          <w:color w:val="auto"/>
          <w:sz w:val="32"/>
          <w:szCs w:val="32"/>
          <w:shd w:val="clear" w:color="auto" w:fill="FFFFFF"/>
          <w:lang w:val="en-US" w:eastAsia="zh-CN"/>
        </w:rPr>
        <w:t>从轻处罚的适用情形</w:t>
      </w:r>
      <w:r>
        <w:rPr>
          <w:rFonts w:hint="eastAsia" w:ascii="仿宋_GB2312" w:hAnsi="仿宋_GB2312" w:eastAsia="仿宋_GB2312" w:cs="仿宋_GB2312"/>
          <w:color w:val="auto"/>
          <w:sz w:val="32"/>
          <w:szCs w:val="32"/>
          <w:shd w:val="clear" w:color="auto" w:fill="FFFFFF"/>
          <w:lang w:eastAsia="zh-CN"/>
        </w:rPr>
        <w:t>“违法经营额1</w:t>
      </w:r>
      <w:r>
        <w:rPr>
          <w:rFonts w:hint="default" w:ascii="仿宋_GB2312" w:hAnsi="仿宋_GB2312" w:eastAsia="仿宋_GB2312" w:cs="仿宋_GB2312"/>
          <w:color w:val="auto"/>
          <w:sz w:val="32"/>
          <w:szCs w:val="32"/>
          <w:shd w:val="clear" w:color="auto" w:fill="FFFFFF"/>
          <w:lang w:eastAsia="zh-CN"/>
        </w:rPr>
        <w:t>万元以下的</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，依据《中华人民共和国行政处罚法》第五条第二款</w:t>
      </w:r>
      <w:r>
        <w:rPr>
          <w:rFonts w:hint="eastAsia" w:ascii="仿宋_GB2312" w:hAnsi="仿宋_GB2312" w:eastAsia="仿宋_GB2312" w:cs="仿宋_GB2312"/>
          <w:color w:val="auto"/>
          <w:sz w:val="32"/>
          <w:szCs w:val="32"/>
          <w:lang w:val="en-US" w:eastAsia="zh-CN"/>
        </w:rPr>
        <w:t>“ 设定和实施行政处罚必须以事实为依据，与违法行为的事实、性质、情节以及社会危害程度相当。</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"javascript:void(0);"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fldChar w:fldCharType="end"/>
      </w:r>
      <w:r>
        <w:rPr>
          <w:rFonts w:hint="eastAsia" w:ascii="仿宋_GB2312" w:hAnsi="仿宋_GB2312" w:eastAsia="仿宋_GB2312" w:cs="仿宋_GB2312"/>
          <w:color w:val="auto"/>
          <w:sz w:val="32"/>
          <w:szCs w:val="32"/>
          <w:lang w:val="en-US" w:eastAsia="zh-CN"/>
        </w:rPr>
        <w:t>”、第六条“实施行政处罚，纠正违法行为，应当坚持处罚与教育相结合，教育公民、法人或者其他组织自觉守法。”</w:t>
      </w:r>
      <w:r>
        <w:rPr>
          <w:rFonts w:hint="eastAsia" w:ascii="仿宋_GB2312" w:hAnsi="仿宋_GB2312" w:eastAsia="仿宋_GB2312" w:cs="仿宋_GB2312"/>
          <w:color w:val="auto"/>
          <w:sz w:val="32"/>
          <w:szCs w:val="32"/>
          <w:shd w:val="clear" w:color="auto" w:fill="FFFFFF"/>
          <w:lang w:val="en-US" w:eastAsia="zh-CN"/>
        </w:rPr>
        <w:t>的规定，</w:t>
      </w:r>
      <w:r>
        <w:rPr>
          <w:rFonts w:hint="eastAsia" w:ascii="仿宋_GB2312" w:hAnsi="仿宋_GB2312" w:eastAsia="仿宋_GB2312" w:cs="仿宋_GB2312"/>
          <w:color w:val="auto"/>
          <w:sz w:val="32"/>
          <w:szCs w:val="32"/>
          <w:u w:val="none"/>
          <w:lang w:eastAsia="zh-CN"/>
        </w:rPr>
        <w:t>我局决定给予当事人从轻行政处罚</w:t>
      </w:r>
      <w:r>
        <w:rPr>
          <w:rFonts w:hint="eastAsia" w:ascii="仿宋_GB2312" w:hAnsi="仿宋_GB2312" w:eastAsia="仿宋_GB2312" w:cs="仿宋_GB2312"/>
          <w:color w:val="auto"/>
          <w:sz w:val="32"/>
          <w:szCs w:val="32"/>
          <w:u w:val="none"/>
        </w:rPr>
        <w:t>。</w:t>
      </w:r>
    </w:p>
    <w:p w14:paraId="33449F5A">
      <w:pPr>
        <w:keepNext w:val="0"/>
        <w:keepLines w:val="0"/>
        <w:pageBreakBefore w:val="0"/>
        <w:widowControl w:val="0"/>
        <w:kinsoku/>
        <w:wordWrap/>
        <w:overflowPunct/>
        <w:topLinePunct w:val="0"/>
        <w:bidi w:val="0"/>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lang w:val="en-US" w:eastAsia="zh-CN"/>
        </w:rPr>
        <w:t>依据</w:t>
      </w:r>
      <w:bookmarkStart w:id="2" w:name="OLE_LINK2"/>
      <w:r>
        <w:rPr>
          <w:rFonts w:hint="eastAsia" w:ascii="仿宋_GB2312" w:hAnsi="仿宋_GB2312" w:eastAsia="仿宋_GB2312" w:cs="仿宋_GB2312"/>
          <w:color w:val="auto"/>
          <w:sz w:val="32"/>
          <w:szCs w:val="32"/>
          <w:shd w:val="clear" w:color="auto" w:fill="FFFFFF"/>
          <w:lang w:val="en-US" w:eastAsia="zh-CN"/>
        </w:rPr>
        <w:t>《无证无照经营查处办法》第五条</w:t>
      </w:r>
      <w:bookmarkEnd w:id="2"/>
      <w:r>
        <w:rPr>
          <w:rFonts w:hint="eastAsia" w:ascii="仿宋_GB2312" w:hAnsi="仿宋_GB2312" w:eastAsia="仿宋_GB2312" w:cs="仿宋_GB2312"/>
          <w:color w:val="auto"/>
          <w:sz w:val="32"/>
          <w:szCs w:val="32"/>
          <w:shd w:val="clear" w:color="auto" w:fill="FFFFFF"/>
          <w:lang w:val="en-US" w:eastAsia="zh-CN"/>
        </w:rPr>
        <w:t>“经营者未依法取得许可从事经营活动的，由法律、法规、国务院决定规定的部门予以查处。”、第七条“经营者未依法取得许可且未依法取得营业执照从事经营活动的，依照本办法第五条的规定予以查处。”以</w:t>
      </w:r>
      <w:r>
        <w:rPr>
          <w:rFonts w:hint="eastAsia" w:ascii="仿宋_GB2312" w:hAnsi="仿宋_GB2312" w:eastAsia="仿宋_GB2312" w:cs="仿宋_GB2312"/>
          <w:color w:val="auto"/>
          <w:kern w:val="2"/>
          <w:sz w:val="32"/>
          <w:szCs w:val="32"/>
          <w:shd w:val="clear" w:color="auto" w:fill="FFFFFF"/>
          <w:lang w:val="en-US" w:eastAsia="zh-CN" w:bidi="ar-SA"/>
        </w:rPr>
        <w:t>及</w:t>
      </w:r>
      <w:r>
        <w:rPr>
          <w:rFonts w:hint="eastAsia" w:ascii="仿宋_GB2312" w:hAnsi="仿宋_GB2312" w:eastAsia="仿宋_GB2312" w:cs="仿宋_GB2312"/>
          <w:color w:val="auto"/>
          <w:sz w:val="32"/>
          <w:szCs w:val="32"/>
          <w:u w:val="none"/>
        </w:rPr>
        <w:t>《中华人民共和国烟草专卖法实施条例》第五十七条“无烟草专卖零售许可证经营烟草制品零售业务的，由工商行政管理部门或者由工商行政管理部门根据烟草专卖行政主管部门的意见，责令停止经营烟草制品零售业务，没收违法所得，处以违法经营总额20%以上50%以下的罚款。”</w:t>
      </w:r>
      <w:r>
        <w:rPr>
          <w:rFonts w:hint="eastAsia" w:ascii="仿宋_GB2312" w:hAnsi="仿宋_GB2312" w:eastAsia="仿宋_GB2312" w:cs="仿宋_GB2312"/>
          <w:color w:val="auto"/>
          <w:sz w:val="32"/>
          <w:szCs w:val="32"/>
          <w:u w:val="none"/>
          <w:lang w:eastAsia="zh-CN"/>
        </w:rPr>
        <w:t>的规定，我局决定</w:t>
      </w:r>
      <w:r>
        <w:rPr>
          <w:rFonts w:hint="eastAsia" w:ascii="仿宋_GB2312" w:hAnsi="仿宋_GB2312" w:eastAsia="仿宋_GB2312" w:cs="仿宋_GB2312"/>
          <w:color w:val="auto"/>
          <w:sz w:val="32"/>
          <w:szCs w:val="32"/>
          <w:u w:val="none"/>
        </w:rPr>
        <w:t>责令当事人立即停止无证零售烟草制品</w:t>
      </w:r>
      <w:r>
        <w:rPr>
          <w:rFonts w:hint="eastAsia" w:ascii="仿宋_GB2312" w:hAnsi="仿宋_GB2312" w:eastAsia="仿宋_GB2312" w:cs="仿宋_GB2312"/>
          <w:color w:val="auto"/>
          <w:sz w:val="32"/>
          <w:szCs w:val="32"/>
          <w:u w:val="none"/>
          <w:lang w:eastAsia="zh-CN"/>
        </w:rPr>
        <w:t>的行为</w:t>
      </w:r>
      <w:r>
        <w:rPr>
          <w:rFonts w:hint="eastAsia" w:ascii="仿宋_GB2312" w:hAnsi="仿宋_GB2312" w:eastAsia="仿宋_GB2312" w:cs="仿宋_GB2312"/>
          <w:color w:val="auto"/>
          <w:sz w:val="32"/>
          <w:szCs w:val="32"/>
          <w:u w:val="none"/>
        </w:rPr>
        <w:t>，并对</w:t>
      </w:r>
      <w:r>
        <w:rPr>
          <w:rFonts w:hint="eastAsia" w:ascii="仿宋_GB2312" w:hAnsi="仿宋_GB2312" w:eastAsia="仿宋_GB2312" w:cs="仿宋_GB2312"/>
          <w:color w:val="auto"/>
          <w:sz w:val="32"/>
          <w:szCs w:val="32"/>
          <w:u w:val="none"/>
          <w:lang w:eastAsia="zh-CN"/>
        </w:rPr>
        <w:t>当事人</w:t>
      </w:r>
      <w:r>
        <w:rPr>
          <w:rFonts w:hint="eastAsia" w:ascii="仿宋_GB2312" w:hAnsi="仿宋_GB2312" w:eastAsia="仿宋_GB2312" w:cs="仿宋_GB2312"/>
          <w:color w:val="auto"/>
          <w:sz w:val="32"/>
          <w:szCs w:val="32"/>
          <w:u w:val="none"/>
        </w:rPr>
        <w:t>作</w:t>
      </w:r>
      <w:r>
        <w:rPr>
          <w:rFonts w:hint="eastAsia" w:ascii="仿宋_GB2312" w:hAnsi="仿宋_GB2312" w:eastAsia="仿宋_GB2312" w:cs="仿宋_GB2312"/>
          <w:color w:val="auto"/>
          <w:sz w:val="32"/>
          <w:szCs w:val="32"/>
          <w:u w:val="none"/>
          <w:lang w:eastAsia="zh-CN"/>
        </w:rPr>
        <w:t>出</w:t>
      </w:r>
      <w:r>
        <w:rPr>
          <w:rFonts w:hint="eastAsia" w:ascii="仿宋_GB2312" w:hAnsi="仿宋_GB2312" w:eastAsia="仿宋_GB2312" w:cs="仿宋_GB2312"/>
          <w:color w:val="auto"/>
          <w:sz w:val="32"/>
          <w:szCs w:val="32"/>
          <w:u w:val="none"/>
        </w:rPr>
        <w:t>罚款</w:t>
      </w:r>
      <w:r>
        <w:rPr>
          <w:rFonts w:hint="eastAsia" w:ascii="仿宋_GB2312" w:hAnsi="仿宋_GB2312" w:eastAsia="仿宋_GB2312" w:cs="仿宋_GB2312"/>
          <w:color w:val="auto"/>
          <w:sz w:val="32"/>
          <w:szCs w:val="32"/>
          <w:u w:val="none"/>
          <w:lang w:val="en-US" w:eastAsia="zh-CN"/>
        </w:rPr>
        <w:t>900</w:t>
      </w:r>
      <w:r>
        <w:rPr>
          <w:rFonts w:hint="eastAsia" w:ascii="仿宋_GB2312" w:hAnsi="仿宋_GB2312" w:eastAsia="仿宋_GB2312" w:cs="仿宋_GB2312"/>
          <w:color w:val="auto"/>
          <w:sz w:val="32"/>
          <w:szCs w:val="32"/>
          <w:u w:val="none"/>
        </w:rPr>
        <w:t>元</w:t>
      </w:r>
      <w:r>
        <w:rPr>
          <w:rFonts w:hint="eastAsia" w:ascii="仿宋_GB2312" w:hAnsi="仿宋_GB2312" w:eastAsia="仿宋_GB2312" w:cs="仿宋_GB2312"/>
          <w:color w:val="auto"/>
          <w:sz w:val="32"/>
          <w:szCs w:val="32"/>
          <w:u w:val="none"/>
          <w:lang w:eastAsia="zh-CN"/>
        </w:rPr>
        <w:t>的</w:t>
      </w:r>
      <w:r>
        <w:rPr>
          <w:rFonts w:hint="eastAsia" w:ascii="仿宋_GB2312" w:hAnsi="仿宋_GB2312" w:eastAsia="仿宋_GB2312" w:cs="仿宋_GB2312"/>
          <w:color w:val="auto"/>
          <w:sz w:val="32"/>
          <w:szCs w:val="32"/>
          <w:u w:val="none"/>
        </w:rPr>
        <w:t>行政处罚。</w:t>
      </w:r>
      <w:r>
        <w:rPr>
          <w:rFonts w:hint="eastAsia" w:ascii="仿宋_GB2312" w:hAnsi="仿宋_GB2312" w:eastAsia="仿宋_GB2312" w:cs="仿宋_GB2312"/>
          <w:color w:val="auto"/>
          <w:sz w:val="32"/>
          <w:szCs w:val="32"/>
        </w:rPr>
        <w:t xml:space="preserve">  </w:t>
      </w:r>
    </w:p>
    <w:p w14:paraId="216F8BA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当事人应自接到本行政处罚决定书之日起十五日内，凭</w:t>
      </w:r>
      <w:r>
        <w:rPr>
          <w:rFonts w:hint="eastAsia" w:ascii="仿宋_GB2312" w:hAnsi="仿宋_GB2312" w:eastAsia="仿宋_GB2312" w:cs="仿宋_GB2312"/>
          <w:b w:val="0"/>
          <w:bCs w:val="0"/>
          <w:color w:val="auto"/>
          <w:sz w:val="32"/>
          <w:szCs w:val="32"/>
          <w:u w:val="none"/>
        </w:rPr>
        <w:t>《</w:t>
      </w:r>
      <w:r>
        <w:rPr>
          <w:rFonts w:hint="eastAsia" w:ascii="仿宋_GB2312" w:hAnsi="仿宋_GB2312" w:eastAsia="仿宋_GB2312" w:cs="仿宋_GB2312"/>
          <w:color w:val="auto"/>
          <w:sz w:val="32"/>
          <w:szCs w:val="32"/>
          <w:u w:val="none"/>
        </w:rPr>
        <w:t>非税收入</w:t>
      </w:r>
      <w:r>
        <w:rPr>
          <w:rFonts w:hint="eastAsia" w:ascii="仿宋_GB2312" w:hAnsi="仿宋_GB2312" w:eastAsia="仿宋_GB2312" w:cs="仿宋_GB2312"/>
          <w:color w:val="auto"/>
          <w:sz w:val="32"/>
          <w:szCs w:val="32"/>
          <w:u w:val="none"/>
          <w:lang w:eastAsia="zh-CN"/>
        </w:rPr>
        <w:t>一般</w:t>
      </w:r>
      <w:r>
        <w:rPr>
          <w:rFonts w:hint="eastAsia" w:ascii="仿宋_GB2312" w:hAnsi="仿宋_GB2312" w:eastAsia="仿宋_GB2312" w:cs="仿宋_GB2312"/>
          <w:color w:val="auto"/>
          <w:sz w:val="32"/>
          <w:szCs w:val="32"/>
          <w:u w:val="none"/>
        </w:rPr>
        <w:t>缴款书</w:t>
      </w:r>
      <w:r>
        <w:rPr>
          <w:rFonts w:hint="eastAsia" w:ascii="仿宋_GB2312" w:hAnsi="仿宋_GB2312" w:eastAsia="仿宋_GB2312" w:cs="仿宋_GB2312"/>
          <w:color w:val="auto"/>
          <w:sz w:val="32"/>
          <w:szCs w:val="32"/>
          <w:u w:val="none"/>
          <w:lang w:eastAsia="zh-CN"/>
        </w:rPr>
        <w:t>（电子）</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bCs/>
          <w:color w:val="auto"/>
          <w:sz w:val="32"/>
          <w:szCs w:val="32"/>
          <w:u w:val="none"/>
          <w:lang w:val="en-US" w:eastAsia="zh-CN"/>
        </w:rPr>
        <w:t>到中国建设银行缴纳罚款。逾期不缴纳罚款的，根据《中华人民共和国行政处罚法》第七十二条的规定，我局将每日按罚款数额的百分之三加处罚款，并依法申请人民法院强制执行。</w:t>
      </w:r>
    </w:p>
    <w:p w14:paraId="408B35A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Cs/>
          <w:color w:val="auto"/>
          <w:sz w:val="32"/>
          <w:szCs w:val="32"/>
          <w:u w:val="none"/>
          <w:lang w:val="en-US" w:eastAsia="zh-CN"/>
        </w:rPr>
        <w:t>当事人如不服本行政处罚决定，可在接到本行政处罚决定书之日起六十日内向柳州市柳北区人民政府申请行政复议；也可以在十五日内依法向柳州市柳南区人民法院提起行政诉讼。申请行政复议或者提起行政诉讼期间，行政处罚不停止执行。</w:t>
      </w:r>
    </w:p>
    <w:p w14:paraId="0EA2F4B9">
      <w:pPr>
        <w:pStyle w:val="2"/>
        <w:keepNext w:val="0"/>
        <w:keepLines w:val="0"/>
        <w:pageBreakBefore w:val="0"/>
        <w:widowControl w:val="0"/>
        <w:kinsoku/>
        <w:wordWrap/>
        <w:overflowPunct/>
        <w:topLinePunct w:val="0"/>
        <w:bidi w:val="0"/>
        <w:snapToGrid/>
        <w:spacing w:line="500" w:lineRule="exact"/>
        <w:ind w:left="0" w:leftChars="0"/>
        <w:textAlignment w:val="auto"/>
        <w:rPr>
          <w:rFonts w:hint="eastAsia" w:ascii="仿宋_GB2312" w:hAnsi="仿宋_GB2312" w:eastAsia="仿宋_GB2312" w:cs="仿宋_GB2312"/>
          <w:color w:val="auto"/>
          <w:sz w:val="32"/>
          <w:szCs w:val="32"/>
          <w:lang w:val="en-US" w:eastAsia="zh-CN"/>
        </w:rPr>
      </w:pPr>
    </w:p>
    <w:p w14:paraId="7F104133">
      <w:pPr>
        <w:pStyle w:val="2"/>
        <w:keepNext w:val="0"/>
        <w:keepLines w:val="0"/>
        <w:pageBreakBefore w:val="0"/>
        <w:widowControl w:val="0"/>
        <w:kinsoku/>
        <w:wordWrap/>
        <w:overflowPunct/>
        <w:topLinePunct w:val="0"/>
        <w:bidi w:val="0"/>
        <w:snapToGrid/>
        <w:spacing w:line="500" w:lineRule="exact"/>
        <w:ind w:left="0" w:leftChars="0"/>
        <w:textAlignment w:val="auto"/>
        <w:rPr>
          <w:rFonts w:hint="eastAsia" w:ascii="仿宋_GB2312" w:hAnsi="仿宋_GB2312" w:eastAsia="仿宋_GB2312" w:cs="仿宋_GB2312"/>
          <w:color w:val="auto"/>
          <w:sz w:val="32"/>
          <w:szCs w:val="32"/>
          <w:lang w:val="en-US" w:eastAsia="zh-CN"/>
        </w:rPr>
      </w:pPr>
    </w:p>
    <w:p w14:paraId="120B0DB1">
      <w:pPr>
        <w:pStyle w:val="2"/>
        <w:keepNext w:val="0"/>
        <w:keepLines w:val="0"/>
        <w:pageBreakBefore w:val="0"/>
        <w:widowControl w:val="0"/>
        <w:kinsoku/>
        <w:wordWrap/>
        <w:overflowPunct/>
        <w:topLinePunct w:val="0"/>
        <w:bidi w:val="0"/>
        <w:snapToGrid/>
        <w:spacing w:line="500" w:lineRule="exact"/>
        <w:ind w:left="0" w:leftChars="0"/>
        <w:textAlignment w:val="auto"/>
        <w:rPr>
          <w:rFonts w:hint="eastAsia" w:ascii="仿宋_GB2312" w:hAnsi="仿宋_GB2312" w:eastAsia="仿宋_GB2312" w:cs="仿宋_GB2312"/>
          <w:color w:val="auto"/>
          <w:sz w:val="32"/>
          <w:szCs w:val="32"/>
          <w:lang w:val="en-US" w:eastAsia="zh-CN"/>
        </w:rPr>
      </w:pPr>
    </w:p>
    <w:p w14:paraId="4D7765A8">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 xml:space="preserve">                          柳州市柳北区市场监督管理局        </w:t>
      </w:r>
    </w:p>
    <w:p w14:paraId="104C67B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left"/>
        <w:textAlignment w:val="auto"/>
        <w:outlineLvl w:val="9"/>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 xml:space="preserve">                              2026年7月30日　</w:t>
      </w:r>
    </w:p>
    <w:p w14:paraId="34D593D9">
      <w:pPr>
        <w:pStyle w:val="2"/>
        <w:keepNext w:val="0"/>
        <w:keepLines w:val="0"/>
        <w:pageBreakBefore w:val="0"/>
        <w:widowControl w:val="0"/>
        <w:kinsoku/>
        <w:wordWrap/>
        <w:overflowPunct/>
        <w:topLinePunct w:val="0"/>
        <w:bidi w:val="0"/>
        <w:spacing w:line="500" w:lineRule="exact"/>
        <w:rPr>
          <w:rFonts w:hint="eastAsia" w:ascii="仿宋_GB2312" w:hAnsi="仿宋_GB2312" w:eastAsia="仿宋_GB2312" w:cs="仿宋_GB2312"/>
          <w:color w:val="auto"/>
          <w:sz w:val="32"/>
          <w:szCs w:val="32"/>
        </w:rPr>
      </w:pPr>
    </w:p>
    <w:p w14:paraId="60DE7994">
      <w:pPr>
        <w:pStyle w:val="2"/>
        <w:keepNext w:val="0"/>
        <w:keepLines w:val="0"/>
        <w:pageBreakBefore w:val="0"/>
        <w:widowControl w:val="0"/>
        <w:kinsoku/>
        <w:wordWrap/>
        <w:overflowPunct/>
        <w:topLinePunct w:val="0"/>
        <w:bidi w:val="0"/>
        <w:spacing w:line="500" w:lineRule="exact"/>
        <w:rPr>
          <w:rFonts w:hint="eastAsia" w:ascii="仿宋_GB2312" w:hAnsi="仿宋_GB2312" w:eastAsia="仿宋_GB2312" w:cs="仿宋_GB2312"/>
          <w:color w:val="auto"/>
          <w:sz w:val="32"/>
          <w:szCs w:val="32"/>
        </w:rPr>
      </w:pPr>
    </w:p>
    <w:p w14:paraId="68E7A218">
      <w:pPr>
        <w:pStyle w:val="2"/>
        <w:keepNext w:val="0"/>
        <w:keepLines w:val="0"/>
        <w:pageBreakBefore w:val="0"/>
        <w:widowControl w:val="0"/>
        <w:kinsoku/>
        <w:wordWrap/>
        <w:overflowPunct/>
        <w:topLinePunct w:val="0"/>
        <w:bidi w:val="0"/>
        <w:spacing w:line="500" w:lineRule="exact"/>
        <w:rPr>
          <w:rFonts w:hint="eastAsia" w:ascii="仿宋_GB2312" w:hAnsi="仿宋_GB2312" w:eastAsia="仿宋_GB2312" w:cs="仿宋_GB2312"/>
          <w:color w:val="auto"/>
          <w:sz w:val="32"/>
          <w:szCs w:val="32"/>
        </w:rPr>
      </w:pPr>
    </w:p>
    <w:p w14:paraId="154DB990">
      <w:pPr>
        <w:pStyle w:val="2"/>
        <w:keepNext w:val="0"/>
        <w:keepLines w:val="0"/>
        <w:pageBreakBefore w:val="0"/>
        <w:widowControl w:val="0"/>
        <w:kinsoku/>
        <w:wordWrap/>
        <w:overflowPunct/>
        <w:topLinePunct w:val="0"/>
        <w:bidi w:val="0"/>
        <w:spacing w:line="500" w:lineRule="exact"/>
        <w:rPr>
          <w:rFonts w:hint="eastAsia" w:ascii="仿宋_GB2312" w:hAnsi="仿宋_GB2312" w:eastAsia="仿宋_GB2312" w:cs="仿宋_GB2312"/>
          <w:color w:val="auto"/>
          <w:sz w:val="32"/>
          <w:szCs w:val="32"/>
        </w:rPr>
      </w:pPr>
    </w:p>
    <w:p w14:paraId="2D182594">
      <w:pPr>
        <w:pStyle w:val="2"/>
        <w:keepNext w:val="0"/>
        <w:keepLines w:val="0"/>
        <w:pageBreakBefore w:val="0"/>
        <w:widowControl w:val="0"/>
        <w:kinsoku/>
        <w:wordWrap/>
        <w:overflowPunct/>
        <w:topLinePunct w:val="0"/>
        <w:bidi w:val="0"/>
        <w:spacing w:line="500" w:lineRule="exact"/>
        <w:rPr>
          <w:rFonts w:hint="eastAsia" w:ascii="仿宋_GB2312" w:hAnsi="仿宋_GB2312" w:eastAsia="仿宋_GB2312" w:cs="仿宋_GB2312"/>
          <w:color w:val="auto"/>
          <w:sz w:val="32"/>
          <w:szCs w:val="32"/>
        </w:rPr>
      </w:pPr>
    </w:p>
    <w:p w14:paraId="579EDDFB">
      <w:pPr>
        <w:pStyle w:val="2"/>
        <w:keepNext w:val="0"/>
        <w:keepLines w:val="0"/>
        <w:pageBreakBefore w:val="0"/>
        <w:widowControl w:val="0"/>
        <w:kinsoku/>
        <w:wordWrap/>
        <w:overflowPunct/>
        <w:topLinePunct w:val="0"/>
        <w:bidi w:val="0"/>
        <w:spacing w:line="500" w:lineRule="exact"/>
        <w:rPr>
          <w:rFonts w:hint="eastAsia" w:ascii="仿宋_GB2312" w:hAnsi="仿宋_GB2312" w:eastAsia="仿宋_GB2312" w:cs="仿宋_GB2312"/>
          <w:color w:val="auto"/>
          <w:sz w:val="32"/>
          <w:szCs w:val="32"/>
        </w:rPr>
      </w:pPr>
    </w:p>
    <w:p w14:paraId="60478ECC">
      <w:pPr>
        <w:pStyle w:val="2"/>
        <w:keepNext w:val="0"/>
        <w:keepLines w:val="0"/>
        <w:pageBreakBefore w:val="0"/>
        <w:widowControl w:val="0"/>
        <w:kinsoku/>
        <w:wordWrap/>
        <w:overflowPunct/>
        <w:topLinePunct w:val="0"/>
        <w:bidi w:val="0"/>
        <w:spacing w:line="500" w:lineRule="exact"/>
        <w:rPr>
          <w:rFonts w:hint="eastAsia" w:ascii="仿宋_GB2312" w:hAnsi="仿宋_GB2312" w:eastAsia="仿宋_GB2312" w:cs="仿宋_GB2312"/>
          <w:color w:val="auto"/>
          <w:sz w:val="32"/>
          <w:szCs w:val="32"/>
        </w:rPr>
      </w:pPr>
    </w:p>
    <w:p w14:paraId="04DC13EE">
      <w:pPr>
        <w:pStyle w:val="2"/>
        <w:keepNext w:val="0"/>
        <w:keepLines w:val="0"/>
        <w:pageBreakBefore w:val="0"/>
        <w:widowControl w:val="0"/>
        <w:kinsoku/>
        <w:wordWrap/>
        <w:overflowPunct/>
        <w:topLinePunct w:val="0"/>
        <w:bidi w:val="0"/>
        <w:spacing w:line="500" w:lineRule="exact"/>
        <w:rPr>
          <w:rFonts w:hint="eastAsia" w:ascii="仿宋_GB2312" w:hAnsi="仿宋_GB2312" w:eastAsia="仿宋_GB2312" w:cs="仿宋_GB2312"/>
          <w:color w:val="auto"/>
          <w:sz w:val="32"/>
          <w:szCs w:val="32"/>
        </w:rPr>
      </w:pPr>
    </w:p>
    <w:p w14:paraId="1FA708EB">
      <w:pPr>
        <w:pStyle w:val="2"/>
        <w:keepNext w:val="0"/>
        <w:keepLines w:val="0"/>
        <w:pageBreakBefore w:val="0"/>
        <w:widowControl w:val="0"/>
        <w:kinsoku/>
        <w:wordWrap/>
        <w:overflowPunct/>
        <w:topLinePunct w:val="0"/>
        <w:bidi w:val="0"/>
        <w:spacing w:line="500" w:lineRule="exact"/>
        <w:rPr>
          <w:rFonts w:hint="eastAsia" w:ascii="仿宋_GB2312" w:hAnsi="仿宋_GB2312" w:eastAsia="仿宋_GB2312" w:cs="仿宋_GB2312"/>
          <w:color w:val="auto"/>
          <w:sz w:val="32"/>
          <w:szCs w:val="32"/>
        </w:rPr>
      </w:pPr>
    </w:p>
    <w:p w14:paraId="22D77541">
      <w:pPr>
        <w:pStyle w:val="2"/>
        <w:keepNext w:val="0"/>
        <w:keepLines w:val="0"/>
        <w:pageBreakBefore w:val="0"/>
        <w:widowControl w:val="0"/>
        <w:kinsoku/>
        <w:wordWrap/>
        <w:overflowPunct/>
        <w:topLinePunct w:val="0"/>
        <w:bidi w:val="0"/>
        <w:spacing w:line="500" w:lineRule="exact"/>
        <w:rPr>
          <w:rFonts w:hint="eastAsia" w:ascii="仿宋_GB2312" w:hAnsi="仿宋_GB2312" w:eastAsia="仿宋_GB2312" w:cs="仿宋_GB2312"/>
          <w:color w:val="auto"/>
          <w:sz w:val="32"/>
          <w:szCs w:val="32"/>
        </w:rPr>
      </w:pPr>
    </w:p>
    <w:p w14:paraId="3E3635D2">
      <w:pPr>
        <w:pStyle w:val="2"/>
        <w:keepNext w:val="0"/>
        <w:keepLines w:val="0"/>
        <w:pageBreakBefore w:val="0"/>
        <w:widowControl w:val="0"/>
        <w:kinsoku/>
        <w:wordWrap/>
        <w:overflowPunct/>
        <w:topLinePunct w:val="0"/>
        <w:bidi w:val="0"/>
        <w:spacing w:line="500" w:lineRule="exact"/>
        <w:rPr>
          <w:rFonts w:hint="eastAsia" w:ascii="仿宋_GB2312" w:hAnsi="仿宋_GB2312" w:eastAsia="仿宋_GB2312" w:cs="仿宋_GB2312"/>
          <w:color w:val="auto"/>
          <w:sz w:val="32"/>
          <w:szCs w:val="32"/>
        </w:rPr>
      </w:pPr>
    </w:p>
    <w:p w14:paraId="4B176524">
      <w:pPr>
        <w:pStyle w:val="2"/>
        <w:keepNext w:val="0"/>
        <w:keepLines w:val="0"/>
        <w:pageBreakBefore w:val="0"/>
        <w:widowControl w:val="0"/>
        <w:kinsoku/>
        <w:wordWrap/>
        <w:overflowPunct/>
        <w:topLinePunct w:val="0"/>
        <w:bidi w:val="0"/>
        <w:spacing w:line="500" w:lineRule="exact"/>
        <w:rPr>
          <w:rFonts w:hint="eastAsia" w:ascii="仿宋_GB2312" w:hAnsi="仿宋_GB2312" w:eastAsia="仿宋_GB2312" w:cs="仿宋_GB2312"/>
          <w:color w:val="auto"/>
          <w:sz w:val="32"/>
          <w:szCs w:val="32"/>
        </w:rPr>
      </w:pPr>
    </w:p>
    <w:p w14:paraId="4D4203E6">
      <w:pPr>
        <w:pStyle w:val="2"/>
        <w:keepNext w:val="0"/>
        <w:keepLines w:val="0"/>
        <w:pageBreakBefore w:val="0"/>
        <w:widowControl w:val="0"/>
        <w:kinsoku/>
        <w:wordWrap/>
        <w:overflowPunct/>
        <w:topLinePunct w:val="0"/>
        <w:bidi w:val="0"/>
        <w:spacing w:line="500" w:lineRule="exact"/>
        <w:rPr>
          <w:rFonts w:hint="eastAsia" w:ascii="仿宋_GB2312" w:hAnsi="仿宋_GB2312" w:eastAsia="仿宋_GB2312" w:cs="仿宋_GB2312"/>
          <w:color w:val="auto"/>
          <w:sz w:val="32"/>
          <w:szCs w:val="32"/>
        </w:rPr>
      </w:pPr>
    </w:p>
    <w:p w14:paraId="65C82DBD">
      <w:pPr>
        <w:pStyle w:val="3"/>
        <w:keepNext w:val="0"/>
        <w:keepLines w:val="0"/>
        <w:pageBreakBefore w:val="0"/>
        <w:widowControl w:val="0"/>
        <w:pBdr>
          <w:bottom w:val="single" w:color="auto" w:sz="6" w:space="1"/>
        </w:pBdr>
        <w:kinsoku/>
        <w:wordWrap/>
        <w:overflowPunct/>
        <w:topLinePunct w:val="0"/>
        <w:autoSpaceDE/>
        <w:autoSpaceDN/>
        <w:bidi w:val="0"/>
        <w:adjustRightInd/>
        <w:spacing w:line="500" w:lineRule="exact"/>
        <w:ind w:left="0" w:leftChars="0" w:right="0" w:rightChars="0" w:firstLine="0" w:firstLineChars="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 xml:space="preserve">（市场监督管理部门将依法向社会公示本行政处罚决定信息） </w:t>
      </w:r>
    </w:p>
    <w:p w14:paraId="627DC212">
      <w:pPr>
        <w:pStyle w:val="2"/>
        <w:keepNext w:val="0"/>
        <w:keepLines w:val="0"/>
        <w:pageBreakBefore w:val="0"/>
        <w:widowControl w:val="0"/>
        <w:kinsoku/>
        <w:wordWrap/>
        <w:overflowPunct/>
        <w:topLinePunct w:val="0"/>
        <w:bidi w:val="0"/>
        <w:spacing w:line="500" w:lineRule="exac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本文书一式</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份，一份送达，一份归档</w:t>
      </w:r>
      <w:r>
        <w:rPr>
          <w:rFonts w:hint="eastAsia" w:ascii="仿宋_GB2312" w:hAnsi="仿宋_GB2312" w:eastAsia="仿宋_GB2312" w:cs="仿宋_GB2312"/>
          <w:color w:val="auto"/>
          <w:sz w:val="32"/>
          <w:szCs w:val="32"/>
          <w:lang w:eastAsia="zh-CN"/>
        </w:rPr>
        <w:t>，一份办案机构留存。</w:t>
      </w:r>
    </w:p>
    <w:sectPr>
      <w:headerReference r:id="rId3" w:type="default"/>
      <w:footerReference r:id="rId4" w:type="default"/>
      <w:pgSz w:w="11906" w:h="16838"/>
      <w:pgMar w:top="1440" w:right="1134"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B9BE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D54B8">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C7D54B8">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FD98A">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5ZmI1NmM0NTFmZTU5ZDUyNjZiMTM4MjRlMDJmYTcifQ=="/>
    <w:docVar w:name="KSO_WPS_MARK_KEY" w:val="8592556f-49d4-4b38-9d73-95c81d5901ce"/>
  </w:docVars>
  <w:rsids>
    <w:rsidRoot w:val="38991185"/>
    <w:rsid w:val="03D951E0"/>
    <w:rsid w:val="041746CA"/>
    <w:rsid w:val="043F0407"/>
    <w:rsid w:val="050B6856"/>
    <w:rsid w:val="07604A1A"/>
    <w:rsid w:val="078A686A"/>
    <w:rsid w:val="07BE70C4"/>
    <w:rsid w:val="095D095C"/>
    <w:rsid w:val="09B23C11"/>
    <w:rsid w:val="0A5D7159"/>
    <w:rsid w:val="0BD40F69"/>
    <w:rsid w:val="0CBC3C74"/>
    <w:rsid w:val="0D8920C3"/>
    <w:rsid w:val="0DD15D3A"/>
    <w:rsid w:val="0E4B1576"/>
    <w:rsid w:val="0E5E7DA9"/>
    <w:rsid w:val="0E9D4189"/>
    <w:rsid w:val="0F0373B1"/>
    <w:rsid w:val="0F6925D8"/>
    <w:rsid w:val="0FEA33CD"/>
    <w:rsid w:val="10360A28"/>
    <w:rsid w:val="109A482C"/>
    <w:rsid w:val="11012A5A"/>
    <w:rsid w:val="121C2E46"/>
    <w:rsid w:val="1282606E"/>
    <w:rsid w:val="1324433F"/>
    <w:rsid w:val="1553636A"/>
    <w:rsid w:val="15A941B8"/>
    <w:rsid w:val="160063E8"/>
    <w:rsid w:val="179D5560"/>
    <w:rsid w:val="17E75E45"/>
    <w:rsid w:val="18954CE4"/>
    <w:rsid w:val="18FB7F0C"/>
    <w:rsid w:val="191974BC"/>
    <w:rsid w:val="19BD35F2"/>
    <w:rsid w:val="19D2409C"/>
    <w:rsid w:val="1A2E1582"/>
    <w:rsid w:val="1A783892"/>
    <w:rsid w:val="1AB45BE6"/>
    <w:rsid w:val="1B3D39CE"/>
    <w:rsid w:val="1B602BF9"/>
    <w:rsid w:val="1BD35136"/>
    <w:rsid w:val="1CC55D64"/>
    <w:rsid w:val="1CF04609"/>
    <w:rsid w:val="1D015729"/>
    <w:rsid w:val="1D7E246D"/>
    <w:rsid w:val="1DD138F7"/>
    <w:rsid w:val="1E2B7FD1"/>
    <w:rsid w:val="1E834A1F"/>
    <w:rsid w:val="1F6B3698"/>
    <w:rsid w:val="20076D9A"/>
    <w:rsid w:val="20776154"/>
    <w:rsid w:val="21DE69A0"/>
    <w:rsid w:val="220D5DAF"/>
    <w:rsid w:val="22AB4DEF"/>
    <w:rsid w:val="22E732E3"/>
    <w:rsid w:val="23110016"/>
    <w:rsid w:val="231819F6"/>
    <w:rsid w:val="23BF6EB5"/>
    <w:rsid w:val="23DD6465"/>
    <w:rsid w:val="248C5304"/>
    <w:rsid w:val="24DA2E85"/>
    <w:rsid w:val="24F2052C"/>
    <w:rsid w:val="259011F8"/>
    <w:rsid w:val="25BE697B"/>
    <w:rsid w:val="25DC5F2B"/>
    <w:rsid w:val="26241BA3"/>
    <w:rsid w:val="266C7B65"/>
    <w:rsid w:val="287C121A"/>
    <w:rsid w:val="28B64A80"/>
    <w:rsid w:val="28FF44CE"/>
    <w:rsid w:val="29A30860"/>
    <w:rsid w:val="2A134E2F"/>
    <w:rsid w:val="2BA20325"/>
    <w:rsid w:val="2C0748D9"/>
    <w:rsid w:val="2C317A1A"/>
    <w:rsid w:val="2D47432D"/>
    <w:rsid w:val="2D6F3D99"/>
    <w:rsid w:val="2D7B3BEC"/>
    <w:rsid w:val="2E875E4D"/>
    <w:rsid w:val="2FB674D6"/>
    <w:rsid w:val="2FB92D54"/>
    <w:rsid w:val="30D10F27"/>
    <w:rsid w:val="30E80B4C"/>
    <w:rsid w:val="31711915"/>
    <w:rsid w:val="318E12DA"/>
    <w:rsid w:val="36462126"/>
    <w:rsid w:val="3732571E"/>
    <w:rsid w:val="376748F3"/>
    <w:rsid w:val="378030B5"/>
    <w:rsid w:val="37980946"/>
    <w:rsid w:val="387E793E"/>
    <w:rsid w:val="38991185"/>
    <w:rsid w:val="38E11BE1"/>
    <w:rsid w:val="399F74A1"/>
    <w:rsid w:val="3A5152BB"/>
    <w:rsid w:val="3B97256D"/>
    <w:rsid w:val="3C4E1187"/>
    <w:rsid w:val="3D454394"/>
    <w:rsid w:val="3D974B92"/>
    <w:rsid w:val="3E1127E3"/>
    <w:rsid w:val="3F4050D9"/>
    <w:rsid w:val="419014A0"/>
    <w:rsid w:val="42C22B17"/>
    <w:rsid w:val="4345381F"/>
    <w:rsid w:val="450C543D"/>
    <w:rsid w:val="46D81947"/>
    <w:rsid w:val="46DC1447"/>
    <w:rsid w:val="473D4EEF"/>
    <w:rsid w:val="47A30116"/>
    <w:rsid w:val="47C21D8F"/>
    <w:rsid w:val="48657693"/>
    <w:rsid w:val="486F6565"/>
    <w:rsid w:val="49811C6F"/>
    <w:rsid w:val="498E280E"/>
    <w:rsid w:val="49995E90"/>
    <w:rsid w:val="4A065485"/>
    <w:rsid w:val="4A072E04"/>
    <w:rsid w:val="4CF40C4E"/>
    <w:rsid w:val="4D425AB6"/>
    <w:rsid w:val="4D575A60"/>
    <w:rsid w:val="4D7072D0"/>
    <w:rsid w:val="4D861AC1"/>
    <w:rsid w:val="4E065892"/>
    <w:rsid w:val="4EFE10C5"/>
    <w:rsid w:val="50203983"/>
    <w:rsid w:val="509F0570"/>
    <w:rsid w:val="521E3449"/>
    <w:rsid w:val="526F2022"/>
    <w:rsid w:val="52856670"/>
    <w:rsid w:val="52EB1898"/>
    <w:rsid w:val="53990737"/>
    <w:rsid w:val="53FF395E"/>
    <w:rsid w:val="54310CEA"/>
    <w:rsid w:val="58B13C92"/>
    <w:rsid w:val="5936030B"/>
    <w:rsid w:val="5BB00D7C"/>
    <w:rsid w:val="5C164DD1"/>
    <w:rsid w:val="5C7C71CB"/>
    <w:rsid w:val="5D8A0D8F"/>
    <w:rsid w:val="5EC32908"/>
    <w:rsid w:val="5F2A4AA0"/>
    <w:rsid w:val="5F4750E0"/>
    <w:rsid w:val="5FF63F7F"/>
    <w:rsid w:val="605C71A6"/>
    <w:rsid w:val="60806FCC"/>
    <w:rsid w:val="61FA4C02"/>
    <w:rsid w:val="646C0FFB"/>
    <w:rsid w:val="65E74228"/>
    <w:rsid w:val="67395F4D"/>
    <w:rsid w:val="67ED6539"/>
    <w:rsid w:val="687377EB"/>
    <w:rsid w:val="68EE188F"/>
    <w:rsid w:val="6A175BDB"/>
    <w:rsid w:val="6ABA2F28"/>
    <w:rsid w:val="6AD824D8"/>
    <w:rsid w:val="6B1B573A"/>
    <w:rsid w:val="6B206150"/>
    <w:rsid w:val="6B861377"/>
    <w:rsid w:val="6CB829EE"/>
    <w:rsid w:val="6D201D79"/>
    <w:rsid w:val="6D850E3D"/>
    <w:rsid w:val="6DD547AC"/>
    <w:rsid w:val="6F6B325C"/>
    <w:rsid w:val="703716AB"/>
    <w:rsid w:val="71D43875"/>
    <w:rsid w:val="72A15345"/>
    <w:rsid w:val="73E55634"/>
    <w:rsid w:val="759C1482"/>
    <w:rsid w:val="764A0321"/>
    <w:rsid w:val="76832D28"/>
    <w:rsid w:val="77166770"/>
    <w:rsid w:val="779134BC"/>
    <w:rsid w:val="77E34BBF"/>
    <w:rsid w:val="7AD60415"/>
    <w:rsid w:val="7BC86AA4"/>
    <w:rsid w:val="7BD155E4"/>
    <w:rsid w:val="7C2E1CCB"/>
    <w:rsid w:val="7C3B7212"/>
    <w:rsid w:val="7C8C388A"/>
    <w:rsid w:val="7CFC5082"/>
    <w:rsid w:val="7DFB573F"/>
    <w:rsid w:val="7E610966"/>
    <w:rsid w:val="7EC73B8E"/>
    <w:rsid w:val="7FD140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1788</Words>
  <Characters>1841</Characters>
  <Lines>0</Lines>
  <Paragraphs>0</Paragraphs>
  <TotalTime>0</TotalTime>
  <ScaleCrop>false</ScaleCrop>
  <LinksUpToDate>false</LinksUpToDate>
  <CharactersWithSpaces>1910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2021-11-24T01:33:00Z</dcterms:created>
  <dc:creator>一碗虾</dc:creator>
  <cp:lastModifiedBy>蕃蕃</cp:lastModifiedBy>
  <cp:lastPrinted>2024-11-28T08:18:00Z</cp:lastPrinted>
  <dcterms:modified xsi:type="dcterms:W3CDTF">2026-07-31T01:01:06Z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900AE5264F434B5DB5E4FF8ECA3A62A0_13</vt:lpwstr>
  </property>
  <property fmtid="{D5CDD505-2E9C-101B-9397-08002B2CF9AE}" pid="4" name="KSOTemplateDocerSaveRecord">
    <vt:lpwstr>eyJoZGlkIjoiNjljYzBiNmJkNjNmYjA3MDkwNzQ4ZTM5NDc1MTY5NDgiLCJ1c2VySWQiOiI5MTQwNjk2NTMifQ==</vt:lpwstr>
  </property>
</Properties>
</file>