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DB8F1">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3917AF97">
      <w:pPr>
        <w:pStyle w:val="2"/>
        <w:keepNext w:val="0"/>
        <w:numPr>
          <w:ilvl w:val="0"/>
          <w:numId w:val="2"/>
        </w:numPr>
        <w:spacing w:before="0" w:after="0" w:line="640" w:lineRule="exact"/>
        <w:jc w:val="center"/>
        <w:rPr>
          <w:rFonts w:hint="eastAsia" w:ascii="方正小标宋简体" w:hAnsi="方正小标宋简体" w:eastAsia="方正小标宋简体" w:cs="方正小标宋简体"/>
          <w:color w:val="auto"/>
          <w:sz w:val="44"/>
          <w:szCs w:val="44"/>
        </w:rPr>
      </w:pPr>
      <w:bookmarkStart w:id="1" w:name="_Toc76683344"/>
      <w:r>
        <w:rPr>
          <w:rFonts w:hint="eastAsia" w:ascii="方正小标宋简体" w:hAnsi="方正小标宋简体" w:eastAsia="方正小标宋简体" w:cs="方正小标宋简体"/>
          <w:color w:val="auto"/>
          <w:sz w:val="44"/>
          <w:szCs w:val="44"/>
          <w:u w:val="none"/>
          <w:lang w:val="en-US"/>
        </w:rPr>
        <w:t>行政处罚</w:t>
      </w:r>
      <w:r>
        <w:rPr>
          <w:rFonts w:hint="eastAsia" w:ascii="方正小标宋简体" w:hAnsi="方正小标宋简体" w:eastAsia="方正小标宋简体" w:cs="方正小标宋简体"/>
          <w:color w:val="auto"/>
          <w:sz w:val="44"/>
          <w:szCs w:val="44"/>
          <w:u w:val="none"/>
          <w:lang w:val="en-US" w:eastAsia="zh-Hans"/>
        </w:rPr>
        <w:t>决定</w:t>
      </w:r>
      <w:r>
        <w:rPr>
          <w:rFonts w:hint="eastAsia" w:ascii="方正小标宋简体" w:hAnsi="方正小标宋简体" w:eastAsia="方正小标宋简体" w:cs="方正小标宋简体"/>
          <w:color w:val="auto"/>
          <w:sz w:val="44"/>
          <w:szCs w:val="44"/>
          <w:u w:val="none"/>
          <w:lang w:val="en-US"/>
        </w:rPr>
        <w:t>书</w:t>
      </w:r>
      <w:bookmarkEnd w:id="1"/>
    </w:p>
    <w:p w14:paraId="53D5055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u w:val="none"/>
        </w:rPr>
        <w:t>柳北市监处罚〔202</w:t>
      </w:r>
      <w:r>
        <w:rPr>
          <w:rFonts w:hint="eastAsia" w:ascii="Times New Roman" w:hAnsi="Times New Roman" w:eastAsia="仿宋_GB2312" w:cs="Mongolian Baiti"/>
          <w:color w:val="auto"/>
          <w:sz w:val="32"/>
          <w:u w:val="none"/>
          <w:lang w:val="en-US" w:eastAsia="zh-CN"/>
        </w:rPr>
        <w:t>6</w:t>
      </w:r>
      <w:r>
        <w:rPr>
          <w:rFonts w:hint="eastAsia" w:ascii="Times New Roman" w:hAnsi="Times New Roman" w:eastAsia="仿宋_GB2312" w:cs="Mongolian Baiti"/>
          <w:color w:val="auto"/>
          <w:sz w:val="32"/>
          <w:u w:val="none"/>
        </w:rPr>
        <w:t>〕</w:t>
      </w:r>
      <w:r>
        <w:rPr>
          <w:rFonts w:hint="eastAsia" w:ascii="Times New Roman" w:hAnsi="Times New Roman" w:eastAsia="仿宋_GB2312" w:cs="Mongolian Baiti"/>
          <w:color w:val="auto"/>
          <w:sz w:val="32"/>
          <w:u w:val="none"/>
          <w:lang w:val="en-US" w:eastAsia="zh-CN"/>
        </w:rPr>
        <w:t>89</w:t>
      </w:r>
      <w:r>
        <w:rPr>
          <w:rFonts w:hint="eastAsia" w:ascii="Times New Roman" w:hAnsi="Times New Roman" w:eastAsia="仿宋_GB2312" w:cs="Mongolian Baiti"/>
          <w:color w:val="auto"/>
          <w:sz w:val="32"/>
          <w:u w:val="none"/>
        </w:rPr>
        <w:t>号</w:t>
      </w:r>
      <w:bookmarkEnd w:id="2"/>
    </w:p>
    <w:p w14:paraId="47598843">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p>
    <w:p w14:paraId="434118F4">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当事人：柳州市大荒典选供应链有限公司</w:t>
      </w:r>
    </w:p>
    <w:p w14:paraId="186F339E">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主体资格证照名称：</w:t>
      </w:r>
      <w:r>
        <w:rPr>
          <w:rFonts w:hint="eastAsia" w:ascii="仿宋_GB2312" w:hAnsi="仿宋_GB2312" w:eastAsia="仿宋_GB2312" w:cs="仿宋_GB2312"/>
          <w:color w:val="auto"/>
          <w:kern w:val="1"/>
          <w:sz w:val="32"/>
          <w:szCs w:val="32"/>
          <w:u w:val="none"/>
          <w:lang w:val="en-US" w:eastAsia="zh-CN"/>
        </w:rPr>
        <w:t>营业执照</w:t>
      </w:r>
      <w:r>
        <w:rPr>
          <w:rFonts w:hint="eastAsia" w:ascii="仿宋_GB2312" w:hAnsi="仿宋_GB2312" w:eastAsia="仿宋_GB2312" w:cs="仿宋_GB2312"/>
          <w:bCs/>
          <w:color w:val="auto"/>
          <w:sz w:val="32"/>
          <w:szCs w:val="32"/>
          <w:u w:val="none" w:color="auto"/>
          <w:lang w:val="en-US" w:eastAsia="zh-CN"/>
        </w:rPr>
        <w:t xml:space="preserve">  </w:t>
      </w:r>
    </w:p>
    <w:p w14:paraId="4A3ED962">
      <w:pPr>
        <w:pStyle w:val="8"/>
        <w:keepNext w:val="0"/>
        <w:keepLines w:val="0"/>
        <w:pageBreakBefore w:val="0"/>
        <w:widowControl w:val="0"/>
        <w:kinsoku/>
        <w:wordWrap/>
        <w:overflowPunct/>
        <w:topLinePunct w:val="0"/>
        <w:bidi w:val="0"/>
        <w:snapToGrid/>
        <w:spacing w:line="500" w:lineRule="exact"/>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统一社会信用代码：91450200MAD0KX4A7C</w:t>
      </w:r>
    </w:p>
    <w:p w14:paraId="6C526057">
      <w:pPr>
        <w:pStyle w:val="8"/>
        <w:keepNext w:val="0"/>
        <w:keepLines w:val="0"/>
        <w:pageBreakBefore w:val="0"/>
        <w:widowControl w:val="0"/>
        <w:kinsoku/>
        <w:wordWrap/>
        <w:overflowPunct/>
        <w:topLinePunct w:val="0"/>
        <w:bidi w:val="0"/>
        <w:snapToGrid/>
        <w:spacing w:line="500" w:lineRule="exact"/>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住所：广西壮族自治区柳州市柳北区胜利路9号中房.胜利小区一区2栋2楼3-1号商铺</w:t>
      </w:r>
    </w:p>
    <w:p w14:paraId="6C9AC40F">
      <w:pPr>
        <w:pStyle w:val="8"/>
        <w:keepNext w:val="0"/>
        <w:keepLines w:val="0"/>
        <w:pageBreakBefore w:val="0"/>
        <w:widowControl w:val="0"/>
        <w:kinsoku/>
        <w:wordWrap/>
        <w:overflowPunct/>
        <w:topLinePunct w:val="0"/>
        <w:bidi w:val="0"/>
        <w:snapToGrid/>
        <w:spacing w:line="500" w:lineRule="exact"/>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法定代表人：丁燕</w:t>
      </w:r>
    </w:p>
    <w:p w14:paraId="3152FD3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color="auto"/>
          <w:lang w:val="en-US" w:eastAsia="zh-CN"/>
        </w:rPr>
        <w:t>身份证件号码：*</w:t>
      </w:r>
      <w:r>
        <w:rPr>
          <w:rFonts w:hint="eastAsia" w:ascii="仿宋_GB2312" w:hAnsi="仿宋_GB2312" w:eastAsia="仿宋_GB2312" w:cs="仿宋_GB2312"/>
          <w:color w:val="auto"/>
          <w:sz w:val="32"/>
          <w:szCs w:val="32"/>
          <w:u w:val="none"/>
          <w:lang w:val="en-US" w:eastAsia="zh-CN"/>
        </w:rPr>
        <w:t xml:space="preserve"> </w:t>
      </w:r>
    </w:p>
    <w:p w14:paraId="4BC24CA3">
      <w:pPr>
        <w:pStyle w:val="8"/>
        <w:keepNext w:val="0"/>
        <w:keepLines w:val="0"/>
        <w:pageBreakBefore w:val="0"/>
        <w:widowControl w:val="0"/>
        <w:kinsoku/>
        <w:wordWrap/>
        <w:overflowPunct/>
        <w:topLinePunct w:val="0"/>
        <w:bidi w:val="0"/>
        <w:snapToGrid/>
        <w:spacing w:line="500" w:lineRule="exact"/>
        <w:textAlignment w:val="auto"/>
        <w:rPr>
          <w:rFonts w:hint="eastAsia"/>
          <w:color w:val="auto"/>
          <w:lang w:val="en-US" w:eastAsia="zh-CN"/>
        </w:rPr>
      </w:pPr>
    </w:p>
    <w:p w14:paraId="7E86948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 xml:space="preserve">2026年2月4日我局执法人员对柳州市大荒典选供应链有限公司进行监督检查时，当事人正在组织老年人听讲座推销产品，现场发现当事人住所的墙面广告宣传内容使用了大量国家领导人的形象，当事人的上述行为涉嫌违反了《中华人民共和国广告法》第九条第一款第二项的规定。2026年2月5日经批准，对当事人涉嫌使用国家机关工作人员的形象发布广告案的行为予以立案调查。  </w:t>
      </w:r>
      <w:r>
        <w:rPr>
          <w:rFonts w:hint="eastAsia" w:ascii="仿宋_GB2312" w:hAnsi="仿宋_GB2312" w:eastAsia="仿宋_GB2312" w:cs="仿宋_GB2312"/>
          <w:color w:val="auto"/>
          <w:sz w:val="32"/>
          <w:szCs w:val="32"/>
          <w:u w:val="none"/>
          <w:lang w:val="en-US" w:eastAsia="zh-CN"/>
        </w:rPr>
        <w:t xml:space="preserve"> </w:t>
      </w:r>
    </w:p>
    <w:p w14:paraId="736D2BE9">
      <w:pPr>
        <w:pStyle w:val="8"/>
        <w:keepNext w:val="0"/>
        <w:keepLines w:val="0"/>
        <w:pageBreakBefore w:val="0"/>
        <w:widowControl w:val="0"/>
        <w:kinsoku/>
        <w:wordWrap/>
        <w:overflowPunct/>
        <w:topLinePunct w:val="0"/>
        <w:bidi w:val="0"/>
        <w:snapToGrid/>
        <w:spacing w:line="500" w:lineRule="exact"/>
        <w:ind w:firstLine="640" w:firstLineChars="200"/>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经查实，当事人于2023年10月起在柳州市柳北区胜利路9号中房.胜利小区一区2栋2楼3-1号商铺销售北大荒品牌相关产品，通过张贴宣传海报、现场体验、播放幻灯片和视频等方式进行广告宣传，宣传情况如下：1、</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在住所的墙面张贴的宣传海报内容系自行从网站上搜集并加工整理的，使用了大量国家领导人的形象，含有未经验证出处的“企业实力  连续九年亚洲农业第一品牌，中国最大有机食品生产基地……”等内容。2、</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为推广销售产品，在现场提供仿生地磁床垫给消费者体验，</w:t>
      </w:r>
      <w:r>
        <w:rPr>
          <w:rFonts w:hint="eastAsia" w:hAnsi="仿宋_GB2312" w:cs="仿宋_GB2312"/>
          <w:color w:val="auto"/>
          <w:kern w:val="2"/>
          <w:sz w:val="32"/>
          <w:szCs w:val="32"/>
          <w:u w:val="none"/>
          <w:lang w:val="en-US" w:eastAsia="zh-CN" w:bidi="ar-SA"/>
        </w:rPr>
        <w:t>并</w:t>
      </w:r>
      <w:r>
        <w:rPr>
          <w:rFonts w:hint="eastAsia" w:ascii="仿宋_GB2312" w:hAnsi="仿宋_GB2312" w:eastAsia="仿宋_GB2312" w:cs="仿宋_GB2312"/>
          <w:color w:val="auto"/>
          <w:kern w:val="2"/>
          <w:sz w:val="32"/>
          <w:szCs w:val="32"/>
          <w:u w:val="none"/>
          <w:lang w:val="en-US" w:eastAsia="zh-CN" w:bidi="ar-SA"/>
        </w:rPr>
        <w:t>在墙面张贴该床垫的宣传海报内容含“健康长寿地磁床”，但</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无法证明该床垫具有健康长寿功能。3、</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通过在销售货架上张贴标签的方式对所销售的普通食品葡萄籽粉和32味多营养粉进行宣传，内容为“新品上市 秋冬养生粉籽系列 粉籽具有润燥、滋补、增强免疫力作用，适合秋冬季调理身体”；通过在销售货架上张贴标签的方式对所销售的普通食品黄金季糖宁高膳食纤维轻盈配方奶粉进行宣传，内容为“新品奶粉  黄金季糖宁高膳食纤维配方奶粉适宜人群:高血压、糖尿病、控糖减脂人群，L-阿拉伯糖可高效抑制蔗糖吸收作用，同时可作为益生元调节肠道菌群，荣获国际SGS低gi值食品认证”。4、</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通过播放“会员福利活动新版本”的幻灯片进行宣传，内容使用了大量的国家领导人的形象；虚构国家游泳队来信、上海体育研究所田径、游泳工作组来信以增加消费者对</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产品的信赖；宣传无法提供真实、准确、可验证的证据的“牛初乳……免疫球蛋白lgG，可包围并攻击侵入人体的致病原，包括病毒、细菌、真菌、致敏原及各种毒素等，促进有益菌生长和营养消化吸收，直接提高人体免疫力”等内容；宣传“北大荒牛初乳小妙用:美容、皮炎、湿疹、皮肤瘙痒(用牛初乳原液);脚气、痔疮(用牛初乳原粉);鼻炎(用牛初乳原液，3-4次，7-8滴);头皮屑(直接洗);伤口，除烫伤、烧伤(用牛初乳原粉);狐臭(用牛初乳原液);口腔溃疡,咽炎(用牛初乳原粉)”等内容。</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无法提供材料证明上述广告的广告费用。</w:t>
      </w:r>
    </w:p>
    <w:p w14:paraId="09E7E624">
      <w:pPr>
        <w:pStyle w:val="8"/>
        <w:keepNext w:val="0"/>
        <w:keepLines w:val="0"/>
        <w:pageBreakBefore w:val="0"/>
        <w:widowControl w:val="0"/>
        <w:kinsoku/>
        <w:wordWrap/>
        <w:overflowPunct/>
        <w:topLinePunct w:val="0"/>
        <w:bidi w:val="0"/>
        <w:snapToGrid/>
        <w:spacing w:line="500" w:lineRule="exact"/>
        <w:ind w:firstLine="640" w:firstLineChars="200"/>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上述事实，主要有以下证据证明：</w:t>
      </w:r>
    </w:p>
    <w:p w14:paraId="7227323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1、当事人的《营业执照》复印件1份、法定代表人丁燕身份证复印件1份、受委托人韦炜身份证复印件1份、授权委托书1份，证明当事人的主体资格及法定代表人、受委托人身份信息；</w:t>
      </w:r>
    </w:p>
    <w:p w14:paraId="6B0EB32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2、现场笔录1份、询问笔录2份、证据提取单51份，投诉单1份，证明当事人销售北大荒品牌相关产品，通过张贴宣传海报、现场体验、播放幻灯片和视频方式进行广告宣传的事实，以及广告宣传的内容；</w:t>
      </w:r>
    </w:p>
    <w:p w14:paraId="16EAF91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出库单1份、北大荒营销股份有限公司的《营业执照》复印件1份，吉林市五环营养食品实业开发有限公司龙潭分公司《营业执照》及《食品生产许可证》复印件各1份、广州市增城婴豪商贸行销售出库单及《营业执照》复印件各1份、北大荒完达山乳业股份有限公司双城分公司的《营业执照》及《食品生产许可证》并产品检验报告复印件各1份、背景中佰康磁性床上用品有限责任公司出库单及《营业执照》并检验报告复印件各1份、柳州炳康商贸有限公司销售出库单及《营业执照》复印件1份、黑龙江康普生物科技有限公司的《营业执照》及《食品生产许可证》复印件1份、国产保健食品注册证书1份、销售记录3份，证明上述产品的进货来源、数量及销售情况；</w:t>
      </w:r>
    </w:p>
    <w:p w14:paraId="1EBF969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4、付款截图1份、收条照片1份，整改照片9份，证明当事人积极整改情况。</w:t>
      </w:r>
    </w:p>
    <w:p w14:paraId="04C10FB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以上证据均由当事人及相关证明人签名认可。</w:t>
      </w:r>
    </w:p>
    <w:p w14:paraId="5AE54D4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2026年7月2日我局向当事人送达了《行政处罚告知书》（柳北市监罚告〔2026〕53号），告知当事人我局拟作出行政处罚的事实、理由、依据、处罚内容及享有的权利。当事人于2026年7月7日向我局提交《陈述、申辩意见书》及相关佐证材料，经核查我局不予采纳当事人的陈述和申辩意见。理由如下：1、</w:t>
      </w:r>
      <w:r>
        <w:rPr>
          <w:rFonts w:hint="eastAsia" w:ascii="仿宋_GB2312" w:hAnsi="仿宋_GB2312" w:eastAsia="仿宋_GB2312" w:cs="仿宋_GB2312"/>
          <w:color w:val="auto"/>
          <w:sz w:val="32"/>
          <w:szCs w:val="32"/>
          <w:u w:val="none"/>
          <w:lang w:eastAsia="zh-CN"/>
        </w:rPr>
        <w:t>关于使用国家领导人形象做宣传的问题，</w:t>
      </w:r>
      <w:r>
        <w:rPr>
          <w:rFonts w:hint="eastAsia" w:ascii="仿宋_GB2312" w:hAnsi="仿宋_GB2312" w:eastAsia="仿宋_GB2312" w:cs="仿宋_GB2312"/>
          <w:color w:val="auto"/>
          <w:sz w:val="32"/>
          <w:szCs w:val="32"/>
          <w:u w:val="none"/>
          <w:lang w:val="en-US" w:eastAsia="zh-CN"/>
        </w:rPr>
        <w:t>当事人主张</w:t>
      </w:r>
      <w:r>
        <w:rPr>
          <w:rFonts w:hint="eastAsia" w:ascii="仿宋_GB2312" w:hAnsi="仿宋_GB2312" w:eastAsia="仿宋_GB2312" w:cs="仿宋_GB2312"/>
          <w:color w:val="auto"/>
          <w:sz w:val="32"/>
          <w:szCs w:val="32"/>
          <w:u w:val="none"/>
          <w:lang w:eastAsia="zh-CN"/>
        </w:rPr>
        <w:t>属于企业内部文化，不面向公众，无推销目的，不算广告行为。我局认为当事人作为通过经营场所现场体验、现场介绍</w:t>
      </w:r>
      <w:r>
        <w:rPr>
          <w:rFonts w:hint="eastAsia" w:ascii="仿宋_GB2312" w:hAnsi="仿宋_GB2312" w:eastAsia="仿宋_GB2312" w:cs="仿宋_GB2312"/>
          <w:strike w:val="0"/>
          <w:dstrike w:val="0"/>
          <w:color w:val="auto"/>
          <w:sz w:val="32"/>
          <w:szCs w:val="32"/>
          <w:u w:val="none"/>
          <w:lang w:eastAsia="zh-CN"/>
        </w:rPr>
        <w:t>、</w:t>
      </w:r>
      <w:r>
        <w:rPr>
          <w:rFonts w:hint="eastAsia" w:ascii="仿宋_GB2312" w:hAnsi="仿宋_GB2312" w:eastAsia="仿宋_GB2312" w:cs="仿宋_GB2312"/>
          <w:color w:val="auto"/>
          <w:sz w:val="32"/>
          <w:szCs w:val="32"/>
          <w:u w:val="none"/>
          <w:lang w:eastAsia="zh-CN"/>
        </w:rPr>
        <w:t>现场销售食品及保健食品的商家，当事人大面积地在经营场所</w:t>
      </w:r>
      <w:r>
        <w:rPr>
          <w:rFonts w:hint="eastAsia" w:ascii="仿宋_GB2312" w:hAnsi="仿宋_GB2312" w:eastAsia="仿宋_GB2312" w:cs="仿宋_GB2312"/>
          <w:color w:val="auto"/>
          <w:sz w:val="32"/>
          <w:szCs w:val="32"/>
          <w:highlight w:val="none"/>
          <w:u w:val="none"/>
          <w:lang w:eastAsia="zh-CN"/>
        </w:rPr>
        <w:t>张贴墙体海报，使用</w:t>
      </w:r>
      <w:r>
        <w:rPr>
          <w:rFonts w:hint="eastAsia" w:ascii="仿宋_GB2312" w:hAnsi="仿宋_GB2312" w:eastAsia="仿宋_GB2312" w:cs="仿宋_GB2312"/>
          <w:color w:val="auto"/>
          <w:sz w:val="32"/>
          <w:szCs w:val="32"/>
          <w:u w:val="none"/>
          <w:lang w:eastAsia="zh-CN"/>
        </w:rPr>
        <w:t>大量国家领导形象，并且内容介绍国家领导人与北大荒存在关联，使人误解为国家领导人与其推销的北大荒食品有特定的联系，</w:t>
      </w:r>
      <w:r>
        <w:rPr>
          <w:rFonts w:hint="eastAsia" w:ascii="仿宋_GB2312" w:hAnsi="仿宋_GB2312" w:eastAsia="仿宋_GB2312" w:cs="仿宋_GB2312"/>
          <w:color w:val="auto"/>
          <w:sz w:val="32"/>
          <w:szCs w:val="32"/>
          <w:highlight w:val="none"/>
          <w:u w:val="none"/>
          <w:lang w:eastAsia="zh-CN"/>
        </w:rPr>
        <w:t>从而间接地介绍自己所推销的商品，该</w:t>
      </w:r>
      <w:r>
        <w:rPr>
          <w:rFonts w:hint="eastAsia" w:ascii="仿宋_GB2312" w:hAnsi="仿宋_GB2312" w:eastAsia="仿宋_GB2312" w:cs="仿宋_GB2312"/>
          <w:color w:val="auto"/>
          <w:sz w:val="32"/>
          <w:szCs w:val="32"/>
          <w:u w:val="none"/>
          <w:lang w:eastAsia="zh-CN"/>
        </w:rPr>
        <w:t>墙体海报位于其经营场所的展示区域直接面向消费者宣传，因此我局认为当事人该行为属于《中华人民共和国广告法》第二条第一款规定的广告行为。</w:t>
      </w:r>
      <w:r>
        <w:rPr>
          <w:rFonts w:hint="eastAsia" w:ascii="仿宋_GB2312" w:hAnsi="仿宋_GB2312" w:eastAsia="仿宋_GB2312" w:cs="仿宋_GB2312"/>
          <w:color w:val="auto"/>
          <w:sz w:val="32"/>
          <w:szCs w:val="32"/>
          <w:u w:val="none"/>
          <w:lang w:val="en-US" w:eastAsia="zh-CN"/>
        </w:rPr>
        <w:t>2、当事人主张其对仿生地磁床垫、黄金季宁高膳食纤维轻盈配方奶粉及牛初乳胶囊的宣传内容来源于网络搜索的媒体报道、杂志《中华盛世》及书籍《牛初乳与营养免疫》是为有充分的事实与科学依据不应受处罚。我局认为当事人将网络收集的内容和杂志书籍中的观点加工整理并自行添加食品具有疾病治疗功效的内容后，在其对外宣传的商品标牌及会议宣传的幻灯片中使用，违反《</w:t>
      </w:r>
      <w:r>
        <w:rPr>
          <w:rFonts w:hint="eastAsia" w:ascii="仿宋_GB2312" w:hAnsi="仿宋_GB2312" w:eastAsia="仿宋_GB2312" w:cs="仿宋_GB2312"/>
          <w:color w:val="auto"/>
          <w:sz w:val="32"/>
          <w:szCs w:val="32"/>
          <w:u w:val="none"/>
          <w:lang w:eastAsia="zh-CN"/>
        </w:rPr>
        <w:t>中华人民共和国食品安全法》</w:t>
      </w:r>
      <w:r>
        <w:rPr>
          <w:rFonts w:hint="eastAsia" w:ascii="仿宋_GB2312" w:hAnsi="仿宋_GB2312" w:eastAsia="仿宋_GB2312" w:cs="仿宋_GB2312"/>
          <w:color w:val="auto"/>
          <w:sz w:val="32"/>
          <w:szCs w:val="32"/>
          <w:u w:val="none"/>
          <w:lang w:val="en-US" w:eastAsia="zh-CN"/>
        </w:rPr>
        <w:t>第七十三条“食品广告的内容应当真实合法，不得含有虚假内容，不得涉及疾病预防、治疗功能。食品生产经营者对食品广告内容的真实性、合法性负责。”、</w:t>
      </w:r>
      <w:r>
        <w:rPr>
          <w:rFonts w:hint="eastAsia" w:ascii="仿宋_GB2312" w:hAnsi="仿宋_GB2312" w:eastAsia="仿宋_GB2312" w:cs="仿宋_GB2312"/>
          <w:color w:val="auto"/>
          <w:sz w:val="32"/>
          <w:szCs w:val="32"/>
          <w:u w:val="none"/>
          <w:lang w:eastAsia="zh-CN"/>
        </w:rPr>
        <w:t>《中华人民共和国广告法》</w:t>
      </w:r>
      <w:r>
        <w:rPr>
          <w:rFonts w:hint="eastAsia" w:ascii="仿宋_GB2312" w:hAnsi="仿宋_GB2312" w:eastAsia="仿宋_GB2312" w:cs="仿宋_GB2312"/>
          <w:color w:val="auto"/>
          <w:sz w:val="32"/>
          <w:szCs w:val="32"/>
          <w:lang w:val="en-US" w:eastAsia="zh-CN"/>
        </w:rPr>
        <w:t>第十七条“除医疗、药品、医疗器械广告外，禁止其他任何广告涉及疾病治疗功能，并不得使用医疗用语或者易使推销的商品与药品、医疗器械相混淆的用语。”的规定，</w:t>
      </w:r>
      <w:r>
        <w:rPr>
          <w:rFonts w:hint="eastAsia" w:ascii="仿宋_GB2312" w:hAnsi="仿宋_GB2312" w:eastAsia="仿宋_GB2312" w:cs="仿宋_GB2312"/>
          <w:color w:val="auto"/>
          <w:sz w:val="32"/>
          <w:szCs w:val="32"/>
          <w:u w:val="none"/>
          <w:lang w:val="en-US" w:eastAsia="zh-CN"/>
        </w:rPr>
        <w:t>并且不能证明宣传内容有可验证的科学依据，因此我局不予采纳该陈述申辩意见。3、当事人否认有对消费者播放会员福利幻灯片进行宣传，但在我局对当事人现场检查当天，当事人确实组织老人在其经营场所通过播放幻灯片向老人进行宣传，且当事人承认日常宣传方式为播放幻灯片和视频宣传。因此该陈述申辩内容我局不予采纳。4、当事人提供了微信转账给“盛亿广告”的记录及票据佐证其广告设计费用1785元，经查该转账记录为杨龙敬微信转账给韦柳萍的记录，提供的收据盖有“柳州市盛亿招牌设计部”的章，当事人无法提供其与柳州市盛亿招牌设计部签订的广告合作协议或合同，也无法说明收款人韦柳萍与柳州市盛亿招牌设计部的关系，另查明柳州市盛亿招牌设计部已于2023年03月14日变更名称为柳州市柳北区盛艺广告设计工作室；当事人无法提供其产品推广使用的幻灯片的广告设计、制作、发布费用的证明材料。故当事人提供的广告费用陈述申辩佐证我局不予采纳。5、当事人在销售货架上张贴的内容为“新品奶粉   黄金季糖宁高膳食纤维配方奶粉适宜人群:高血压、糖尿病……”等标签，直接对其销售的普通食品进行宣传，属于《中华人民共和国广告法》第二条第一款规定的广告行为，因此我局不予采纳当事人认为在销售货架上张贴标签内容并非广告的陈述、申辩意见。6、</w:t>
      </w:r>
      <w:r>
        <w:rPr>
          <w:rFonts w:hint="eastAsia" w:ascii="仿宋_GB2312" w:hAnsi="仿宋_GB2312" w:eastAsia="仿宋_GB2312" w:cs="仿宋_GB2312"/>
          <w:bCs/>
          <w:color w:val="auto"/>
          <w:sz w:val="32"/>
          <w:szCs w:val="32"/>
          <w:highlight w:val="none"/>
          <w:u w:val="none" w:color="auto"/>
          <w:lang w:val="en-US" w:eastAsia="zh-CN"/>
        </w:rPr>
        <w:t>经复核：我局已充分考虑当事人向投诉人退换商品货款等具有的情形，当事人上述广告违法行为，不符合《广西壮族自治区市场监督管理局关于印发轻微违法行为依法不予行政处罚事项清单的通知》（桂市监规【2023】4号）规定的不予行政处罚的情形，因此我局不予采纳当事人认为符合不予行政处罚的陈述、申辩意见。</w:t>
      </w:r>
      <w:r>
        <w:rPr>
          <w:rFonts w:hint="eastAsia" w:ascii="仿宋_GB2312" w:hAnsi="仿宋_GB2312" w:eastAsia="仿宋_GB2312" w:cs="仿宋_GB2312"/>
          <w:color w:val="auto"/>
          <w:sz w:val="32"/>
          <w:szCs w:val="32"/>
          <w:u w:val="none"/>
          <w:lang w:val="en-US" w:eastAsia="zh-CN"/>
        </w:rPr>
        <w:t>综上，我局对当事人的申述、申辩意见不予采纳。</w:t>
      </w:r>
    </w:p>
    <w:p w14:paraId="72006ED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当事人的上述广告行为，违反了《中华人民共和国广告法》第九条第一款第二项、第十七条、第二十八条第一款、第二款第二项、第三项的规定，属于发布违法广告的行为</w:t>
      </w:r>
      <w:r>
        <w:rPr>
          <w:rFonts w:hint="eastAsia" w:ascii="仿宋_GB2312" w:hAnsi="仿宋_GB2312" w:eastAsia="仿宋_GB2312" w:cs="仿宋_GB2312"/>
          <w:color w:val="auto"/>
          <w:sz w:val="32"/>
          <w:szCs w:val="32"/>
          <w:u w:val="none"/>
        </w:rPr>
        <w:t>。</w:t>
      </w:r>
    </w:p>
    <w:p w14:paraId="659BE7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在案件调查中发现</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系通过会销等形式形式对商品做虚假宣传，精准锁定并主要面向防范意识薄弱的老年群体进行推销。调查过程中</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能积极配合调查，如实交代违法事实并主动提供进货票据、供货商资质等证据材料，经调解后积极向投诉人退还商品货款，主动减轻违法行为危害后果，符合《关于规范市场监督管理行政处罚裁量权的指导意见》第十三条第一款第二项、第十四条第一款第二项规定的可以依法从轻或者减轻处罚的情形，依据《中华人民共和国行政处罚法》第五条、第六条、第三十二条第一款第一项的规定，我局</w:t>
      </w:r>
      <w:r>
        <w:rPr>
          <w:rFonts w:hint="eastAsia" w:ascii="仿宋_GB2312" w:hAnsi="仿宋_GB2312" w:eastAsia="仿宋_GB2312" w:cs="仿宋_GB2312"/>
          <w:color w:val="auto"/>
          <w:sz w:val="32"/>
          <w:szCs w:val="32"/>
          <w:u w:val="none"/>
          <w:lang w:eastAsia="zh-CN"/>
        </w:rPr>
        <w:t>决定</w:t>
      </w:r>
      <w:r>
        <w:rPr>
          <w:rFonts w:hint="eastAsia" w:ascii="仿宋_GB2312" w:hAnsi="仿宋_GB2312" w:eastAsia="仿宋_GB2312" w:cs="仿宋_GB2312"/>
          <w:color w:val="auto"/>
          <w:sz w:val="32"/>
          <w:szCs w:val="32"/>
          <w:u w:val="none"/>
        </w:rPr>
        <w:t>对</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减轻处罚。</w:t>
      </w:r>
    </w:p>
    <w:p w14:paraId="4A825C9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对于</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上述行为，依据《中华人民共和国行政处罚法》第二十九条、《中华人民共和国广告法》第五十五条第一款、第五十七条第一款第一项、第五十八条第一款第二项的规定，我局</w:t>
      </w:r>
      <w:r>
        <w:rPr>
          <w:rFonts w:hint="eastAsia" w:ascii="仿宋_GB2312" w:hAnsi="仿宋_GB2312" w:eastAsia="仿宋_GB2312" w:cs="仿宋_GB2312"/>
          <w:color w:val="auto"/>
          <w:sz w:val="32"/>
          <w:szCs w:val="32"/>
          <w:u w:val="none"/>
          <w:lang w:eastAsia="zh-CN"/>
        </w:rPr>
        <w:t>决定</w:t>
      </w:r>
      <w:r>
        <w:rPr>
          <w:rFonts w:hint="eastAsia" w:ascii="仿宋_GB2312" w:hAnsi="仿宋_GB2312" w:eastAsia="仿宋_GB2312" w:cs="仿宋_GB2312"/>
          <w:color w:val="auto"/>
          <w:sz w:val="32"/>
          <w:szCs w:val="32"/>
          <w:u w:val="none"/>
        </w:rPr>
        <w:t>责令</w:t>
      </w:r>
      <w:r>
        <w:rPr>
          <w:rFonts w:hint="eastAsia" w:ascii="仿宋_GB2312" w:hAnsi="仿宋_GB2312" w:eastAsia="仿宋_GB2312" w:cs="仿宋_GB2312"/>
          <w:color w:val="auto"/>
          <w:sz w:val="32"/>
          <w:szCs w:val="32"/>
          <w:u w:val="none"/>
          <w:lang w:eastAsia="zh-CN"/>
        </w:rPr>
        <w:t>当事人</w:t>
      </w:r>
      <w:r>
        <w:rPr>
          <w:rFonts w:hint="eastAsia" w:ascii="仿宋_GB2312" w:hAnsi="仿宋_GB2312" w:eastAsia="仿宋_GB2312" w:cs="仿宋_GB2312"/>
          <w:color w:val="auto"/>
          <w:sz w:val="32"/>
          <w:szCs w:val="32"/>
          <w:u w:val="none"/>
        </w:rPr>
        <w:t>立即停止发布违法广告，在相应范围内消除影响，并给予罚款5万元的行政处罚。</w:t>
      </w:r>
    </w:p>
    <w:p w14:paraId="39761D2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当事人如不服本行政处罚决定，可以在接到本行政处罚决定书之日起六十日内</w:t>
      </w:r>
      <w:r>
        <w:rPr>
          <w:rFonts w:hint="eastAsia" w:ascii="仿宋_GB2312" w:hAnsi="仿宋_GB2312" w:eastAsia="仿宋_GB2312" w:cs="仿宋_GB2312"/>
          <w:color w:val="auto"/>
          <w:sz w:val="32"/>
          <w:szCs w:val="32"/>
          <w:u w:val="none"/>
          <w:lang w:eastAsia="zh-CN"/>
        </w:rPr>
        <w:t>向</w:t>
      </w:r>
      <w:r>
        <w:rPr>
          <w:rFonts w:hint="eastAsia" w:ascii="仿宋_GB2312" w:hAnsi="仿宋_GB2312" w:eastAsia="仿宋_GB2312" w:cs="仿宋_GB2312"/>
          <w:color w:val="auto"/>
          <w:sz w:val="32"/>
          <w:szCs w:val="32"/>
          <w:u w:val="none"/>
        </w:rPr>
        <w:t>柳州市柳北区人民政府申请行政复议；也可以在</w:t>
      </w:r>
      <w:r>
        <w:rPr>
          <w:rFonts w:hint="eastAsia" w:ascii="仿宋_GB2312" w:hAnsi="仿宋_GB2312" w:eastAsia="仿宋_GB2312" w:cs="仿宋_GB2312"/>
          <w:color w:val="auto"/>
          <w:sz w:val="32"/>
          <w:szCs w:val="32"/>
          <w:u w:val="none"/>
          <w:lang w:eastAsia="zh-CN"/>
        </w:rPr>
        <w:t>六个月</w:t>
      </w:r>
      <w:r>
        <w:rPr>
          <w:rFonts w:hint="eastAsia" w:ascii="仿宋_GB2312" w:hAnsi="仿宋_GB2312" w:eastAsia="仿宋_GB2312" w:cs="仿宋_GB2312"/>
          <w:color w:val="auto"/>
          <w:sz w:val="32"/>
          <w:szCs w:val="32"/>
          <w:u w:val="none"/>
        </w:rPr>
        <w:t>内依法向柳州市柳</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color w:val="auto"/>
          <w:sz w:val="32"/>
          <w:szCs w:val="32"/>
          <w:u w:val="none"/>
        </w:rPr>
        <w:t>区人民法院提起行政诉讼。申请行政复议或者提起行政诉讼期间，行政处罚不停止执行。</w:t>
      </w: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14:paraId="648662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p>
    <w:p w14:paraId="0CC4768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 xml:space="preserve">                    </w:t>
      </w:r>
    </w:p>
    <w:p w14:paraId="651E2BE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柳州市</w:t>
      </w:r>
      <w:r>
        <w:rPr>
          <w:rFonts w:hint="eastAsia" w:ascii="仿宋_GB2312" w:hAnsi="仿宋_GB2312" w:eastAsia="仿宋_GB2312" w:cs="仿宋_GB2312"/>
          <w:color w:val="auto"/>
          <w:sz w:val="32"/>
          <w:szCs w:val="32"/>
          <w:u w:val="none"/>
          <w:lang w:eastAsia="zh-CN"/>
        </w:rPr>
        <w:t>柳北</w:t>
      </w:r>
      <w:r>
        <w:rPr>
          <w:rFonts w:hint="eastAsia" w:ascii="仿宋_GB2312" w:hAnsi="仿宋_GB2312" w:eastAsia="仿宋_GB2312" w:cs="仿宋_GB2312"/>
          <w:color w:val="auto"/>
          <w:sz w:val="32"/>
          <w:szCs w:val="32"/>
          <w:u w:val="none"/>
        </w:rPr>
        <w:t xml:space="preserve">区市场监督管理局          </w:t>
      </w:r>
    </w:p>
    <w:p w14:paraId="6F35FC3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center"/>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 xml:space="preserve">                           2026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23</w:t>
      </w:r>
      <w:bookmarkStart w:id="3" w:name="_GoBack"/>
      <w:bookmarkEnd w:id="3"/>
      <w:r>
        <w:rPr>
          <w:rFonts w:hint="eastAsia" w:ascii="仿宋_GB2312" w:hAnsi="仿宋_GB2312" w:eastAsia="仿宋_GB2312" w:cs="仿宋_GB2312"/>
          <w:color w:val="auto"/>
          <w:sz w:val="32"/>
          <w:szCs w:val="32"/>
          <w:u w:val="none"/>
        </w:rPr>
        <w:t xml:space="preserve">日  </w:t>
      </w:r>
    </w:p>
    <w:p w14:paraId="02E5459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jc w:val="both"/>
        <w:textAlignment w:val="auto"/>
        <w:outlineLvl w:val="9"/>
        <w:rPr>
          <w:rFonts w:hint="eastAsia" w:ascii="仿宋_GB2312" w:hAnsi="仿宋_GB2312" w:eastAsia="仿宋_GB2312" w:cs="仿宋_GB2312"/>
          <w:color w:val="auto"/>
          <w:sz w:val="32"/>
          <w:szCs w:val="32"/>
          <w:u w:val="none"/>
        </w:rPr>
      </w:pPr>
    </w:p>
    <w:p w14:paraId="316F650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仿宋_GB2312" w:hAnsi="仿宋_GB2312" w:eastAsia="仿宋_GB2312" w:cs="仿宋_GB2312"/>
          <w:color w:val="auto"/>
          <w:sz w:val="32"/>
          <w:szCs w:val="32"/>
          <w:u w:val="none"/>
        </w:rPr>
      </w:pPr>
    </w:p>
    <w:p w14:paraId="7867BFA4">
      <w:pPr>
        <w:keepNext w:val="0"/>
        <w:keepLines w:val="0"/>
        <w:pageBreakBefore w:val="0"/>
        <w:widowControl w:val="0"/>
        <w:kinsoku/>
        <w:wordWrap/>
        <w:overflowPunct/>
        <w:topLinePunct w:val="0"/>
        <w:autoSpaceDE/>
        <w:autoSpaceDN/>
        <w:bidi w:val="0"/>
        <w:adjustRightInd/>
        <w:snapToGrid/>
        <w:spacing w:line="240" w:lineRule="auto"/>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u w:val="none"/>
          <w:lang w:eastAsia="zh-CN"/>
        </w:rPr>
        <w:t>（市场监督管理部门将依法向社会公开行政处罚决定信息）</w:t>
      </w:r>
    </w:p>
    <w:p w14:paraId="4D161B9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color w:val="auto"/>
        </w:rPr>
      </w:pPr>
      <w:r>
        <w:rPr>
          <w:color w:val="auto"/>
          <w:sz w:val="32"/>
          <w:u w:val="none"/>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Dyi0wAAAAcBAAAPAAAAAAAAAAEAIAAAACIAAABkcnMvZG93bnJldi54bWxQSwEC&#10;FAAUAAAACACHTuJAsRbMDPkBAAD0AwAADgAAAAAAAAABACAAAAAi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lang w:eastAsia="zh-CN"/>
        </w:rPr>
        <w:t>本文书一式三份，一份送达，一份归档</w:t>
      </w:r>
      <w:r>
        <w:rPr>
          <w:rFonts w:hint="eastAsia" w:ascii="仿宋_GB2312" w:hAnsi="仿宋_GB2312" w:eastAsia="仿宋_GB2312" w:cs="仿宋_GB2312"/>
          <w:color w:val="auto"/>
          <w:sz w:val="32"/>
          <w:szCs w:val="32"/>
          <w:u w:val="none"/>
        </w:rPr>
        <w:t>，一份</w:t>
      </w:r>
      <w:r>
        <w:rPr>
          <w:rFonts w:hint="eastAsia" w:ascii="仿宋_GB2312" w:hAnsi="仿宋_GB2312" w:eastAsia="仿宋_GB2312" w:cs="仿宋_GB2312"/>
          <w:color w:val="auto"/>
          <w:sz w:val="32"/>
          <w:szCs w:val="32"/>
          <w:u w:val="none"/>
          <w:lang w:eastAsia="zh-CN"/>
        </w:rPr>
        <w:t>办案机构</w:t>
      </w:r>
      <w:r>
        <w:rPr>
          <w:rFonts w:hint="eastAsia" w:ascii="仿宋_GB2312" w:hAnsi="仿宋_GB2312" w:eastAsia="仿宋_GB2312" w:cs="仿宋_GB2312"/>
          <w:color w:val="auto"/>
          <w:sz w:val="32"/>
          <w:szCs w:val="32"/>
          <w:u w:val="none"/>
        </w:rPr>
        <w:t>留存</w:t>
      </w:r>
      <w:r>
        <w:rPr>
          <w:rFonts w:hint="eastAsia" w:ascii="仿宋_GB2312" w:hAnsi="仿宋_GB2312" w:eastAsia="仿宋_GB2312" w:cs="仿宋_GB2312"/>
          <w:color w:val="auto"/>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BCB43">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147DF">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EB147DF">
                    <w:pPr>
                      <w:pStyle w:val="4"/>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4ZWZiM2NjMjE1MjkyNmU4OGNhMzMwZjk4MmI2YzAifQ=="/>
    <w:docVar w:name="KSO_WPS_MARK_KEY" w:val="e0e0a264-4759-4521-88aa-fd686ed44552"/>
  </w:docVars>
  <w:rsids>
    <w:rsidRoot w:val="5BA419F7"/>
    <w:rsid w:val="00193C35"/>
    <w:rsid w:val="0032134F"/>
    <w:rsid w:val="015676BF"/>
    <w:rsid w:val="02B83402"/>
    <w:rsid w:val="03E85E47"/>
    <w:rsid w:val="046837CA"/>
    <w:rsid w:val="04B50F34"/>
    <w:rsid w:val="04BA1C3F"/>
    <w:rsid w:val="04CD463F"/>
    <w:rsid w:val="04FA4431"/>
    <w:rsid w:val="062E1218"/>
    <w:rsid w:val="06BAE61F"/>
    <w:rsid w:val="071C7669"/>
    <w:rsid w:val="072E2862"/>
    <w:rsid w:val="0776795A"/>
    <w:rsid w:val="07F7533D"/>
    <w:rsid w:val="07FE68EB"/>
    <w:rsid w:val="08076446"/>
    <w:rsid w:val="082C5DE5"/>
    <w:rsid w:val="08365B64"/>
    <w:rsid w:val="08F23066"/>
    <w:rsid w:val="098E3ABC"/>
    <w:rsid w:val="0AA44133"/>
    <w:rsid w:val="0AE84FF2"/>
    <w:rsid w:val="0B22091D"/>
    <w:rsid w:val="0C89564B"/>
    <w:rsid w:val="0CA33BCC"/>
    <w:rsid w:val="0CD51084"/>
    <w:rsid w:val="0CF71776"/>
    <w:rsid w:val="0D096D81"/>
    <w:rsid w:val="0D3861B5"/>
    <w:rsid w:val="0F611949"/>
    <w:rsid w:val="0FFFE86C"/>
    <w:rsid w:val="103E22C5"/>
    <w:rsid w:val="10491CFA"/>
    <w:rsid w:val="10653E4F"/>
    <w:rsid w:val="110F7D08"/>
    <w:rsid w:val="1350279A"/>
    <w:rsid w:val="137837D5"/>
    <w:rsid w:val="14203063"/>
    <w:rsid w:val="143E1E38"/>
    <w:rsid w:val="1525639D"/>
    <w:rsid w:val="152E563E"/>
    <w:rsid w:val="15AD1A1E"/>
    <w:rsid w:val="15B93156"/>
    <w:rsid w:val="163836F0"/>
    <w:rsid w:val="165035D4"/>
    <w:rsid w:val="17B865FB"/>
    <w:rsid w:val="18325353"/>
    <w:rsid w:val="186377C5"/>
    <w:rsid w:val="18B229B2"/>
    <w:rsid w:val="19E271A2"/>
    <w:rsid w:val="19FE4517"/>
    <w:rsid w:val="1ABE5DA1"/>
    <w:rsid w:val="1AC07E1A"/>
    <w:rsid w:val="1B7802A0"/>
    <w:rsid w:val="1BC65F68"/>
    <w:rsid w:val="1C67350C"/>
    <w:rsid w:val="1CCB7EA6"/>
    <w:rsid w:val="1E2525B5"/>
    <w:rsid w:val="1F2B5D07"/>
    <w:rsid w:val="1F6752CB"/>
    <w:rsid w:val="1FD31F15"/>
    <w:rsid w:val="20D648C2"/>
    <w:rsid w:val="21505C8B"/>
    <w:rsid w:val="220B2CE7"/>
    <w:rsid w:val="22F55C75"/>
    <w:rsid w:val="23E54376"/>
    <w:rsid w:val="24084D2B"/>
    <w:rsid w:val="24626694"/>
    <w:rsid w:val="24E75A37"/>
    <w:rsid w:val="253C3E23"/>
    <w:rsid w:val="258D6CE0"/>
    <w:rsid w:val="27053D24"/>
    <w:rsid w:val="276E08C0"/>
    <w:rsid w:val="296719C7"/>
    <w:rsid w:val="2A9F8649"/>
    <w:rsid w:val="2AEA2DB3"/>
    <w:rsid w:val="2B075FE6"/>
    <w:rsid w:val="2B1B3EFC"/>
    <w:rsid w:val="2CCD678E"/>
    <w:rsid w:val="2CCF5C64"/>
    <w:rsid w:val="2CEA3815"/>
    <w:rsid w:val="2DE10173"/>
    <w:rsid w:val="2E0865C1"/>
    <w:rsid w:val="2ECC3CD5"/>
    <w:rsid w:val="2F327E79"/>
    <w:rsid w:val="2F7CE1EF"/>
    <w:rsid w:val="2FE8594F"/>
    <w:rsid w:val="3015257C"/>
    <w:rsid w:val="30DB5683"/>
    <w:rsid w:val="311C1857"/>
    <w:rsid w:val="32F3303B"/>
    <w:rsid w:val="34BD4037"/>
    <w:rsid w:val="353B4E25"/>
    <w:rsid w:val="3585615B"/>
    <w:rsid w:val="35AE675D"/>
    <w:rsid w:val="361C25FD"/>
    <w:rsid w:val="368E5656"/>
    <w:rsid w:val="36B70655"/>
    <w:rsid w:val="372C0FB1"/>
    <w:rsid w:val="377FBB27"/>
    <w:rsid w:val="378D0FB6"/>
    <w:rsid w:val="37F16547"/>
    <w:rsid w:val="38B63DA7"/>
    <w:rsid w:val="39B21228"/>
    <w:rsid w:val="3A4E178D"/>
    <w:rsid w:val="3A5E6B4F"/>
    <w:rsid w:val="3BF97ECA"/>
    <w:rsid w:val="3C2965F0"/>
    <w:rsid w:val="3D217658"/>
    <w:rsid w:val="3F2604DF"/>
    <w:rsid w:val="3F3106BC"/>
    <w:rsid w:val="3F6783E4"/>
    <w:rsid w:val="3FFF82D4"/>
    <w:rsid w:val="402E7C06"/>
    <w:rsid w:val="40D857F8"/>
    <w:rsid w:val="40FE5F8F"/>
    <w:rsid w:val="425049CE"/>
    <w:rsid w:val="43730AB0"/>
    <w:rsid w:val="45CA7D80"/>
    <w:rsid w:val="45EC0A45"/>
    <w:rsid w:val="45FE116D"/>
    <w:rsid w:val="46EB783F"/>
    <w:rsid w:val="48012ADC"/>
    <w:rsid w:val="48943F06"/>
    <w:rsid w:val="48C10000"/>
    <w:rsid w:val="4A2B0A3A"/>
    <w:rsid w:val="4AE96ACE"/>
    <w:rsid w:val="4B0A02C2"/>
    <w:rsid w:val="4BBE3774"/>
    <w:rsid w:val="4C0201EE"/>
    <w:rsid w:val="4C02380F"/>
    <w:rsid w:val="4CC8271B"/>
    <w:rsid w:val="50B15470"/>
    <w:rsid w:val="5142799E"/>
    <w:rsid w:val="52F12308"/>
    <w:rsid w:val="544C2111"/>
    <w:rsid w:val="548173AF"/>
    <w:rsid w:val="552A59CF"/>
    <w:rsid w:val="57503162"/>
    <w:rsid w:val="578562FB"/>
    <w:rsid w:val="58025EF8"/>
    <w:rsid w:val="58702637"/>
    <w:rsid w:val="591F0542"/>
    <w:rsid w:val="59924E91"/>
    <w:rsid w:val="5AF92E81"/>
    <w:rsid w:val="5B1E5F8A"/>
    <w:rsid w:val="5BA37D24"/>
    <w:rsid w:val="5BA419F7"/>
    <w:rsid w:val="5BF91583"/>
    <w:rsid w:val="5BFB2E57"/>
    <w:rsid w:val="5C1E2E18"/>
    <w:rsid w:val="5D201067"/>
    <w:rsid w:val="5D3C19FB"/>
    <w:rsid w:val="5DD7483B"/>
    <w:rsid w:val="5DF5791A"/>
    <w:rsid w:val="5E5FAB03"/>
    <w:rsid w:val="5F08663C"/>
    <w:rsid w:val="5F9FEDD5"/>
    <w:rsid w:val="5FBEF003"/>
    <w:rsid w:val="5FE33914"/>
    <w:rsid w:val="5FFA4D85"/>
    <w:rsid w:val="602422E6"/>
    <w:rsid w:val="60DE4ED0"/>
    <w:rsid w:val="612E7E8C"/>
    <w:rsid w:val="613C3374"/>
    <w:rsid w:val="61402C9C"/>
    <w:rsid w:val="616C4C70"/>
    <w:rsid w:val="61A65EC3"/>
    <w:rsid w:val="62012A77"/>
    <w:rsid w:val="636F6DEF"/>
    <w:rsid w:val="645B1CAD"/>
    <w:rsid w:val="64607667"/>
    <w:rsid w:val="64944C45"/>
    <w:rsid w:val="649C61C5"/>
    <w:rsid w:val="64E43803"/>
    <w:rsid w:val="65687675"/>
    <w:rsid w:val="669D12B6"/>
    <w:rsid w:val="66EF4576"/>
    <w:rsid w:val="671465AA"/>
    <w:rsid w:val="689E2CBC"/>
    <w:rsid w:val="69005B2E"/>
    <w:rsid w:val="69BB7C22"/>
    <w:rsid w:val="6AD7030F"/>
    <w:rsid w:val="6BCC1BB9"/>
    <w:rsid w:val="6C5E33A0"/>
    <w:rsid w:val="6CD04C5E"/>
    <w:rsid w:val="6D923254"/>
    <w:rsid w:val="6E04767D"/>
    <w:rsid w:val="6E6950E9"/>
    <w:rsid w:val="6F732ABB"/>
    <w:rsid w:val="6F9E6F2E"/>
    <w:rsid w:val="6FEF5D19"/>
    <w:rsid w:val="6FF58B64"/>
    <w:rsid w:val="6FF8F863"/>
    <w:rsid w:val="70B12A29"/>
    <w:rsid w:val="70CF02CA"/>
    <w:rsid w:val="71013020"/>
    <w:rsid w:val="715D0B4F"/>
    <w:rsid w:val="726C5311"/>
    <w:rsid w:val="7376089F"/>
    <w:rsid w:val="73851C79"/>
    <w:rsid w:val="74A63A17"/>
    <w:rsid w:val="75B2DA43"/>
    <w:rsid w:val="75BD90DB"/>
    <w:rsid w:val="763C1526"/>
    <w:rsid w:val="76C00A6A"/>
    <w:rsid w:val="7794703F"/>
    <w:rsid w:val="77DF8BD4"/>
    <w:rsid w:val="77EFD5CC"/>
    <w:rsid w:val="77FB2266"/>
    <w:rsid w:val="77FFADAC"/>
    <w:rsid w:val="7874060E"/>
    <w:rsid w:val="7AA81C72"/>
    <w:rsid w:val="7ABD4419"/>
    <w:rsid w:val="7BFD6076"/>
    <w:rsid w:val="7C2B5359"/>
    <w:rsid w:val="7C8E43D6"/>
    <w:rsid w:val="7DA813EB"/>
    <w:rsid w:val="7DED72FF"/>
    <w:rsid w:val="7DFF108F"/>
    <w:rsid w:val="7E0250CA"/>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3695</Words>
  <Characters>3772</Characters>
  <Lines>0</Lines>
  <Paragraphs>0</Paragraphs>
  <TotalTime>3</TotalTime>
  <ScaleCrop>false</ScaleCrop>
  <LinksUpToDate>false</LinksUpToDate>
  <CharactersWithSpaces>3851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2026-06-17T07:03:00Z</cp:lastPrinted>
  <dcterms:modified xsi:type="dcterms:W3CDTF">2026-07-27T02:24:53Z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15FB75B8236F4621B998B5E315FE6EA4_13</vt:lpwstr>
  </property>
  <property fmtid="{D5CDD505-2E9C-101B-9397-08002B2CF9AE}" pid="4" name="KSOTemplateDocerSaveRecord">
    <vt:lpwstr>eyJoZGlkIjoiNjljYzBiNmJkNjNmYjA3MDkwNzQ4ZTM5NDc1MTY5NDgiLCJ1c2VySWQiOiI5MTQwNjk2NTMifQ==</vt:lpwstr>
  </property>
</Properties>
</file>