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A71F2">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eastAsia" w:ascii="方正小标宋简体" w:hAnsi="方正小标宋简体" w:eastAsia="方正小标宋简体" w:cs="方正小标宋简体"/>
          <w:color w:val="auto"/>
          <w:sz w:val="44"/>
          <w:u w:val="none"/>
          <w:lang w:eastAsia="zh-CN"/>
        </w:rPr>
        <w:t>柳州市</w:t>
      </w:r>
      <w:r>
        <w:rPr>
          <w:rFonts w:hint="default" w:ascii="方正小标宋简体" w:hAnsi="方正小标宋简体" w:eastAsia="方正小标宋简体" w:cs="方正小标宋简体"/>
          <w:color w:val="auto"/>
          <w:sz w:val="44"/>
          <w:u w:val="none"/>
        </w:rPr>
        <w:t>柳北区市场监督管理局</w:t>
      </w:r>
      <w:bookmarkEnd w:id="0"/>
    </w:p>
    <w:p w14:paraId="66471EA4">
      <w:pPr>
        <w:pStyle w:val="2"/>
        <w:keepNext w:val="0"/>
        <w:numPr>
          <w:ilvl w:val="0"/>
          <w:numId w:val="2"/>
        </w:numPr>
        <w:spacing w:before="0" w:after="0" w:line="640" w:lineRule="exact"/>
        <w:jc w:val="center"/>
        <w:rPr>
          <w:rFonts w:hint="eastAsia" w:ascii="方正小标宋简体" w:hAnsi="方正小标宋简体" w:eastAsia="方正小标宋简体" w:cs="方正小标宋简体"/>
          <w:color w:val="auto"/>
          <w:sz w:val="44"/>
          <w:szCs w:val="44"/>
        </w:rPr>
      </w:pPr>
      <w:bookmarkStart w:id="4" w:name="_GoBack"/>
      <w:bookmarkEnd w:id="4"/>
      <w:bookmarkStart w:id="1" w:name="_Toc76683344"/>
      <w:r>
        <w:rPr>
          <w:rFonts w:hint="eastAsia" w:ascii="方正小标宋简体" w:hAnsi="方正小标宋简体" w:eastAsia="方正小标宋简体" w:cs="方正小标宋简体"/>
          <w:color w:val="auto"/>
          <w:sz w:val="44"/>
          <w:szCs w:val="44"/>
          <w:u w:val="none"/>
          <w:lang w:val="en-US"/>
        </w:rPr>
        <w:t>行政处罚</w:t>
      </w:r>
      <w:r>
        <w:rPr>
          <w:rFonts w:hint="eastAsia" w:ascii="方正小标宋简体" w:hAnsi="方正小标宋简体" w:eastAsia="方正小标宋简体" w:cs="方正小标宋简体"/>
          <w:color w:val="auto"/>
          <w:sz w:val="44"/>
          <w:szCs w:val="44"/>
          <w:u w:val="none"/>
          <w:lang w:val="en-US" w:eastAsia="zh-Hans"/>
        </w:rPr>
        <w:t>决定</w:t>
      </w:r>
      <w:r>
        <w:rPr>
          <w:rFonts w:hint="eastAsia" w:ascii="方正小标宋简体" w:hAnsi="方正小标宋简体" w:eastAsia="方正小标宋简体" w:cs="方正小标宋简体"/>
          <w:color w:val="auto"/>
          <w:sz w:val="44"/>
          <w:szCs w:val="44"/>
          <w:u w:val="none"/>
          <w:lang w:val="en-US"/>
        </w:rPr>
        <w:t>书</w:t>
      </w:r>
      <w:bookmarkEnd w:id="1"/>
    </w:p>
    <w:p w14:paraId="42622930">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auto"/>
          <w:sz w:val="32"/>
          <w:u w:val="none"/>
        </w:rPr>
        <w:t>柳北市监处罚〔202</w:t>
      </w:r>
      <w:r>
        <w:rPr>
          <w:rFonts w:hint="eastAsia" w:ascii="Times New Roman" w:hAnsi="Times New Roman" w:eastAsia="仿宋_GB2312" w:cs="Mongolian Baiti"/>
          <w:color w:val="auto"/>
          <w:sz w:val="32"/>
          <w:u w:val="none"/>
          <w:lang w:val="en-US" w:eastAsia="zh-CN"/>
        </w:rPr>
        <w:t>6</w:t>
      </w:r>
      <w:r>
        <w:rPr>
          <w:rFonts w:hint="eastAsia" w:ascii="Times New Roman" w:hAnsi="Times New Roman" w:eastAsia="仿宋_GB2312" w:cs="Mongolian Baiti"/>
          <w:color w:val="auto"/>
          <w:sz w:val="32"/>
          <w:u w:val="none"/>
        </w:rPr>
        <w:t>〕</w:t>
      </w:r>
      <w:r>
        <w:rPr>
          <w:rFonts w:hint="eastAsia" w:ascii="Times New Roman" w:hAnsi="Times New Roman" w:eastAsia="仿宋_GB2312" w:cs="Mongolian Baiti"/>
          <w:color w:val="auto"/>
          <w:sz w:val="32"/>
          <w:u w:val="none"/>
          <w:lang w:val="en-US" w:eastAsia="zh-CN"/>
        </w:rPr>
        <w:t>81</w:t>
      </w:r>
      <w:r>
        <w:rPr>
          <w:rFonts w:hint="eastAsia" w:ascii="Times New Roman" w:hAnsi="Times New Roman" w:eastAsia="仿宋_GB2312" w:cs="Mongolian Baiti"/>
          <w:color w:val="auto"/>
          <w:sz w:val="32"/>
          <w:u w:val="none"/>
        </w:rPr>
        <w:t>号</w:t>
      </w:r>
      <w:bookmarkEnd w:id="2"/>
    </w:p>
    <w:p w14:paraId="282B65B4">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p>
    <w:p w14:paraId="1FA1C791">
      <w:pPr>
        <w:pStyle w:val="8"/>
        <w:keepNext w:val="0"/>
        <w:keepLines w:val="0"/>
        <w:pageBreakBefore w:val="0"/>
        <w:widowControl w:val="0"/>
        <w:kinsoku/>
        <w:wordWrap/>
        <w:overflowPunct/>
        <w:topLinePunct w:val="0"/>
        <w:bidi w:val="0"/>
        <w:snapToGrid/>
        <w:spacing w:line="480" w:lineRule="exact"/>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当事人：</w:t>
      </w:r>
      <w:r>
        <w:rPr>
          <w:rFonts w:hint="eastAsia" w:hAnsi="仿宋_GB2312" w:cs="仿宋_GB2312"/>
          <w:color w:val="auto"/>
          <w:kern w:val="2"/>
          <w:sz w:val="32"/>
          <w:szCs w:val="32"/>
          <w:u w:val="none"/>
          <w:lang w:val="en-US" w:eastAsia="zh-CN" w:bidi="ar-SA"/>
        </w:rPr>
        <w:t>吴荣文</w:t>
      </w:r>
      <w:r>
        <w:rPr>
          <w:rFonts w:hint="eastAsia" w:ascii="仿宋_GB2312" w:hAnsi="仿宋_GB2312" w:eastAsia="仿宋_GB2312" w:cs="仿宋_GB2312"/>
          <w:color w:val="auto"/>
          <w:kern w:val="2"/>
          <w:sz w:val="32"/>
          <w:szCs w:val="32"/>
          <w:u w:val="none"/>
          <w:lang w:val="en-US" w:eastAsia="zh-CN" w:bidi="ar-SA"/>
        </w:rPr>
        <w:t xml:space="preserve">              </w:t>
      </w:r>
    </w:p>
    <w:p w14:paraId="2B7CA04F">
      <w:pPr>
        <w:pStyle w:val="8"/>
        <w:keepNext w:val="0"/>
        <w:keepLines w:val="0"/>
        <w:pageBreakBefore w:val="0"/>
        <w:widowControl w:val="0"/>
        <w:kinsoku/>
        <w:wordWrap/>
        <w:overflowPunct/>
        <w:topLinePunct w:val="0"/>
        <w:bidi w:val="0"/>
        <w:snapToGrid/>
        <w:spacing w:line="480" w:lineRule="exact"/>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性别：</w:t>
      </w:r>
      <w:r>
        <w:rPr>
          <w:rFonts w:hint="eastAsia" w:hAnsi="仿宋_GB2312" w:cs="仿宋_GB2312"/>
          <w:color w:val="auto"/>
          <w:kern w:val="2"/>
          <w:sz w:val="32"/>
          <w:szCs w:val="32"/>
          <w:u w:val="none"/>
          <w:lang w:val="en-US" w:eastAsia="zh-CN" w:bidi="ar-SA"/>
        </w:rPr>
        <w:t>男</w:t>
      </w:r>
    </w:p>
    <w:p w14:paraId="5718EDB3">
      <w:pPr>
        <w:pStyle w:val="8"/>
        <w:keepNext w:val="0"/>
        <w:keepLines w:val="0"/>
        <w:pageBreakBefore w:val="0"/>
        <w:widowControl w:val="0"/>
        <w:kinsoku/>
        <w:wordWrap/>
        <w:overflowPunct/>
        <w:topLinePunct w:val="0"/>
        <w:bidi w:val="0"/>
        <w:snapToGrid/>
        <w:spacing w:line="480" w:lineRule="exact"/>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民族：</w:t>
      </w:r>
      <w:r>
        <w:rPr>
          <w:rFonts w:hint="eastAsia" w:ascii="仿宋_GB2312" w:hAnsi="仿宋" w:eastAsia="仿宋_GB2312" w:cs="仿宋"/>
          <w:color w:val="auto"/>
          <w:sz w:val="32"/>
          <w:szCs w:val="32"/>
          <w:u w:val="none"/>
          <w:lang w:eastAsia="zh-CN"/>
        </w:rPr>
        <w:t>壮</w:t>
      </w:r>
    </w:p>
    <w:p w14:paraId="34C67778">
      <w:pPr>
        <w:pStyle w:val="8"/>
        <w:keepNext w:val="0"/>
        <w:keepLines w:val="0"/>
        <w:pageBreakBefore w:val="0"/>
        <w:widowControl w:val="0"/>
        <w:kinsoku/>
        <w:wordWrap/>
        <w:overflowPunct/>
        <w:topLinePunct w:val="0"/>
        <w:bidi w:val="0"/>
        <w:snapToGrid/>
        <w:spacing w:line="480" w:lineRule="exact"/>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出生日期：</w:t>
      </w:r>
      <w:r>
        <w:rPr>
          <w:rFonts w:hint="eastAsia" w:hAnsi="仿宋" w:cs="仿宋"/>
          <w:color w:val="auto"/>
          <w:sz w:val="32"/>
          <w:szCs w:val="32"/>
          <w:u w:val="none"/>
          <w:lang w:val="en-US" w:eastAsia="zh-CN"/>
        </w:rPr>
        <w:t>*</w:t>
      </w:r>
    </w:p>
    <w:p w14:paraId="2B59BC0B">
      <w:pPr>
        <w:pStyle w:val="8"/>
        <w:keepNext w:val="0"/>
        <w:keepLines w:val="0"/>
        <w:pageBreakBefore w:val="0"/>
        <w:widowControl w:val="0"/>
        <w:kinsoku/>
        <w:wordWrap/>
        <w:overflowPunct/>
        <w:topLinePunct w:val="0"/>
        <w:bidi w:val="0"/>
        <w:snapToGrid/>
        <w:spacing w:line="480" w:lineRule="exact"/>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身份证件号码：</w:t>
      </w:r>
      <w:r>
        <w:rPr>
          <w:rFonts w:hint="eastAsia" w:hAnsi="仿宋_GB2312" w:cs="仿宋_GB2312"/>
          <w:color w:val="auto"/>
          <w:kern w:val="2"/>
          <w:sz w:val="32"/>
          <w:szCs w:val="32"/>
          <w:u w:val="none"/>
          <w:lang w:val="en-US" w:eastAsia="zh-CN" w:bidi="ar-SA"/>
        </w:rPr>
        <w:t>*</w:t>
      </w:r>
    </w:p>
    <w:p w14:paraId="463B45C8">
      <w:pPr>
        <w:pStyle w:val="8"/>
        <w:keepNext w:val="0"/>
        <w:keepLines w:val="0"/>
        <w:pageBreakBefore w:val="0"/>
        <w:widowControl w:val="0"/>
        <w:kinsoku/>
        <w:wordWrap/>
        <w:overflowPunct/>
        <w:topLinePunct w:val="0"/>
        <w:bidi w:val="0"/>
        <w:snapToGrid/>
        <w:spacing w:line="480" w:lineRule="exact"/>
        <w:rPr>
          <w:rFonts w:hint="eastAsia" w:hAnsi="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联系电话：</w:t>
      </w:r>
      <w:r>
        <w:rPr>
          <w:rFonts w:hint="eastAsia" w:hAnsi="仿宋_GB2312" w:cs="仿宋_GB2312"/>
          <w:color w:val="auto"/>
          <w:kern w:val="2"/>
          <w:sz w:val="32"/>
          <w:szCs w:val="32"/>
          <w:u w:val="none"/>
          <w:lang w:val="en-US" w:eastAsia="zh-CN" w:bidi="ar-SA"/>
        </w:rPr>
        <w:t>*</w:t>
      </w:r>
    </w:p>
    <w:p w14:paraId="3D26BD49">
      <w:pPr>
        <w:pStyle w:val="8"/>
        <w:keepNext w:val="0"/>
        <w:keepLines w:val="0"/>
        <w:pageBreakBefore w:val="0"/>
        <w:widowControl w:val="0"/>
        <w:kinsoku/>
        <w:wordWrap/>
        <w:overflowPunct/>
        <w:topLinePunct w:val="0"/>
        <w:bidi w:val="0"/>
        <w:snapToGrid/>
        <w:spacing w:line="480" w:lineRule="exact"/>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住址：广西宜州市</w:t>
      </w:r>
      <w:r>
        <w:rPr>
          <w:rFonts w:hint="eastAsia" w:hAnsi="仿宋_GB2312" w:cs="仿宋_GB2312"/>
          <w:color w:val="auto"/>
          <w:kern w:val="2"/>
          <w:sz w:val="32"/>
          <w:szCs w:val="32"/>
          <w:u w:val="none"/>
          <w:lang w:val="en-US" w:eastAsia="zh-CN" w:bidi="ar-SA"/>
        </w:rPr>
        <w:t>*</w:t>
      </w:r>
    </w:p>
    <w:p w14:paraId="3BABAD99">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 xml:space="preserve">2026年4月23日我局执法人员对当事人进行检查时，发现当事人在经营活动中用于贸易结算的一台电子计价秤（制造单位：鑫利达），放置2kg标准砝码称重时，重量显示4.200市斤。当事人涉嫌使用不合格电子计价秤，执法人员现场对该电子计价秤进行抽样送检，经批准后于2026年4月27日对当事人的上述行为进行立案调查。2026年5月18日，我局收到柳州市计量技术测试研究所出具的证书编号为HLH26050022号的《检定结果通知书》，检定结论为不合格。2026年5月18日我局向当事人送达了《检定结果告知书》（柳北市监检鉴结〔2026〕8号）和上述《检定结果通知书》，依法对上述电子计价秤采取扣押的行政强制措施。当事人在法定期限内未提出复检申请。  </w:t>
      </w:r>
      <w:r>
        <w:rPr>
          <w:rFonts w:hint="eastAsia" w:ascii="仿宋_GB2312" w:hAnsi="仿宋_GB2312" w:eastAsia="仿宋_GB2312" w:cs="仿宋_GB2312"/>
          <w:color w:val="auto"/>
          <w:sz w:val="32"/>
          <w:szCs w:val="32"/>
          <w:u w:val="none"/>
          <w:lang w:val="en-US" w:eastAsia="zh-CN"/>
        </w:rPr>
        <w:t xml:space="preserve"> </w:t>
      </w:r>
    </w:p>
    <w:p w14:paraId="5127351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经查实，当事人2026年4月23日被我局依法查获时，在柳州市白沙农贸市场内从事烧鸭、烤鹅经营活动中用于贸易结算的一台电子计价秤（无铭牌，鑫利达牌），经柳州市计量技术测试研究所检定并出具证书编号为HLH26050022号的《检定结果通知书》记载：“计量器具名称：电子计价秤，型号/规格：ACS-30型，出厂编号：不详（吴荣文），制造单位：鑫利达，检定结论：不合格。其中1、检定项目：计量单位检定结果为不合格，该秤的计量单位为“市斤”，为非法定计量单位；2、检定项目：计量的安全性检定结果为不符合，该秤未加有铅封，且存在不破坏铅封就能对秤进行与计量性能有关的参数调整的情况；3、该秤存在欺骗性使用特征。无铭牌，无封铅。经拆开发现，有加装电路板，且存在不破坏铅封就能对秤进行与计量性能有关的参数调整的情况。因当事人在经营过程中未建立进销台账记录，故营业性收入无法计算。</w:t>
      </w:r>
    </w:p>
    <w:p w14:paraId="6A3CC4B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另查实，当事人在未取得《营业执照》和《小餐饮登记证》的情况下从事烧鸭、烤鹅销售活动。</w:t>
      </w:r>
    </w:p>
    <w:p w14:paraId="205A9E4E">
      <w:pPr>
        <w:pStyle w:val="8"/>
        <w:keepNext w:val="0"/>
        <w:keepLines w:val="0"/>
        <w:pageBreakBefore w:val="0"/>
        <w:widowControl w:val="0"/>
        <w:kinsoku/>
        <w:wordWrap/>
        <w:overflowPunct/>
        <w:topLinePunct w:val="0"/>
        <w:bidi w:val="0"/>
        <w:snapToGrid/>
        <w:spacing w:line="480" w:lineRule="exact"/>
        <w:rPr>
          <w:rFonts w:hint="eastAsia"/>
          <w:color w:val="auto"/>
          <w:sz w:val="32"/>
          <w:szCs w:val="32"/>
          <w:lang w:val="en-US" w:eastAsia="zh-CN"/>
        </w:rPr>
      </w:pPr>
      <w:r>
        <w:rPr>
          <w:rFonts w:hint="eastAsia"/>
          <w:color w:val="auto"/>
          <w:sz w:val="32"/>
          <w:szCs w:val="32"/>
          <w:lang w:val="en-US" w:eastAsia="zh-CN"/>
        </w:rPr>
        <w:t>上述事实，主要有以下证据证明：</w:t>
      </w:r>
    </w:p>
    <w:p w14:paraId="6086358F">
      <w:pPr>
        <w:pStyle w:val="8"/>
        <w:keepNext w:val="0"/>
        <w:keepLines w:val="0"/>
        <w:pageBreakBefore w:val="0"/>
        <w:widowControl w:val="0"/>
        <w:kinsoku/>
        <w:wordWrap/>
        <w:overflowPunct/>
        <w:topLinePunct w:val="0"/>
        <w:bidi w:val="0"/>
        <w:snapToGrid/>
        <w:spacing w:line="480" w:lineRule="exact"/>
        <w:ind w:firstLine="640" w:firstLineChars="200"/>
        <w:rPr>
          <w:rFonts w:hint="eastAsia"/>
          <w:color w:val="auto"/>
          <w:sz w:val="32"/>
          <w:szCs w:val="32"/>
          <w:lang w:val="en-US" w:eastAsia="zh-CN"/>
        </w:rPr>
      </w:pPr>
      <w:r>
        <w:rPr>
          <w:rFonts w:hint="eastAsia"/>
          <w:color w:val="auto"/>
          <w:sz w:val="32"/>
          <w:szCs w:val="32"/>
          <w:lang w:val="en-US" w:eastAsia="zh-CN"/>
        </w:rPr>
        <w:t>1、当事人的吴荣文身份证复印件1份，证明当事人的身份信息；</w:t>
      </w:r>
    </w:p>
    <w:p w14:paraId="28CE88D7">
      <w:pPr>
        <w:pStyle w:val="8"/>
        <w:keepNext w:val="0"/>
        <w:keepLines w:val="0"/>
        <w:pageBreakBefore w:val="0"/>
        <w:widowControl w:val="0"/>
        <w:kinsoku/>
        <w:wordWrap/>
        <w:overflowPunct/>
        <w:topLinePunct w:val="0"/>
        <w:bidi w:val="0"/>
        <w:snapToGrid/>
        <w:spacing w:line="480" w:lineRule="exact"/>
        <w:ind w:firstLine="640" w:firstLineChars="200"/>
        <w:rPr>
          <w:rFonts w:hint="eastAsia"/>
          <w:color w:val="auto"/>
          <w:sz w:val="32"/>
          <w:szCs w:val="32"/>
          <w:lang w:val="en-US" w:eastAsia="zh-CN"/>
        </w:rPr>
      </w:pPr>
      <w:r>
        <w:rPr>
          <w:rFonts w:hint="eastAsia"/>
          <w:color w:val="auto"/>
          <w:sz w:val="32"/>
          <w:szCs w:val="32"/>
          <w:lang w:val="en-US" w:eastAsia="zh-CN"/>
        </w:rPr>
        <w:t>2、2026年4月23日我局执法人员对当事人进行现场检查制作的《现场笔录》1份、《计量器具抽样登记表》（编号：柳北计量抽〔2026〕第I042303号）1份，证据提取单4份、证明我局对当事人的检查及抽样情况；</w:t>
      </w:r>
    </w:p>
    <w:p w14:paraId="3CF688C5">
      <w:pPr>
        <w:pStyle w:val="8"/>
        <w:keepNext w:val="0"/>
        <w:keepLines w:val="0"/>
        <w:pageBreakBefore w:val="0"/>
        <w:widowControl w:val="0"/>
        <w:kinsoku/>
        <w:wordWrap/>
        <w:overflowPunct/>
        <w:topLinePunct w:val="0"/>
        <w:bidi w:val="0"/>
        <w:snapToGrid/>
        <w:spacing w:line="480" w:lineRule="exact"/>
        <w:ind w:firstLine="640" w:firstLineChars="200"/>
        <w:rPr>
          <w:rFonts w:hint="eastAsia"/>
          <w:color w:val="auto"/>
          <w:sz w:val="32"/>
          <w:szCs w:val="32"/>
          <w:lang w:val="en-US" w:eastAsia="zh-CN"/>
        </w:rPr>
      </w:pPr>
      <w:r>
        <w:rPr>
          <w:rFonts w:hint="eastAsia"/>
          <w:color w:val="auto"/>
          <w:sz w:val="32"/>
          <w:szCs w:val="32"/>
          <w:lang w:val="en-US" w:eastAsia="zh-CN"/>
        </w:rPr>
        <w:t>3、《检定委托书》（柳北市监检鉴委〔2026〕8号）1份，柳州市计量技术测试研究所资质证书复印件1份，证明我局依法委托柳州市计量技术测试研究所对当事人用于贸易结算的上述的电子计价秤进行检定及柳州市计量技术测试研究所具有检定电子计价秤的资格。</w:t>
      </w:r>
    </w:p>
    <w:p w14:paraId="445668DC">
      <w:pPr>
        <w:pStyle w:val="8"/>
        <w:keepNext w:val="0"/>
        <w:keepLines w:val="0"/>
        <w:pageBreakBefore w:val="0"/>
        <w:widowControl w:val="0"/>
        <w:kinsoku/>
        <w:wordWrap/>
        <w:overflowPunct/>
        <w:topLinePunct w:val="0"/>
        <w:bidi w:val="0"/>
        <w:snapToGrid/>
        <w:spacing w:line="480" w:lineRule="exact"/>
        <w:ind w:firstLine="640" w:firstLineChars="200"/>
        <w:rPr>
          <w:rFonts w:hint="eastAsia"/>
          <w:color w:val="auto"/>
          <w:sz w:val="32"/>
          <w:szCs w:val="32"/>
          <w:lang w:val="en-US" w:eastAsia="zh-CN"/>
        </w:rPr>
      </w:pPr>
      <w:r>
        <w:rPr>
          <w:rFonts w:hint="eastAsia"/>
          <w:color w:val="auto"/>
          <w:sz w:val="32"/>
          <w:szCs w:val="32"/>
          <w:lang w:val="en-US" w:eastAsia="zh-CN"/>
        </w:rPr>
        <w:t>4、《检定结果告知书》（柳北市监检鉴结〔2026〕8号）和《检定结果通知书》（证书编号：HLH26050022号）各1份，证明涉案的电子计价秤检定结论为不合格；</w:t>
      </w:r>
    </w:p>
    <w:p w14:paraId="352EA848">
      <w:pPr>
        <w:pStyle w:val="8"/>
        <w:keepNext w:val="0"/>
        <w:keepLines w:val="0"/>
        <w:pageBreakBefore w:val="0"/>
        <w:widowControl w:val="0"/>
        <w:kinsoku/>
        <w:wordWrap/>
        <w:overflowPunct/>
        <w:topLinePunct w:val="0"/>
        <w:bidi w:val="0"/>
        <w:snapToGrid/>
        <w:spacing w:line="480" w:lineRule="exact"/>
        <w:ind w:firstLine="640" w:firstLineChars="200"/>
        <w:rPr>
          <w:rFonts w:hint="eastAsia"/>
          <w:color w:val="auto"/>
          <w:sz w:val="32"/>
          <w:szCs w:val="32"/>
          <w:lang w:val="en-US" w:eastAsia="zh-CN"/>
        </w:rPr>
      </w:pPr>
      <w:r>
        <w:rPr>
          <w:rFonts w:hint="eastAsia"/>
          <w:color w:val="auto"/>
          <w:sz w:val="32"/>
          <w:szCs w:val="32"/>
          <w:lang w:val="en-US" w:eastAsia="zh-CN"/>
        </w:rPr>
        <w:t>5、2026年5月18日制作的《现场笔录》1份、《实施行政强制措施决定书》（柳北市监强制〔2026〕21号、附《财物清单》）1份、证据提取单1份，证明我局对当事人在经营中使用的上述不合格的电子计价秤采取扣押行政强制措施；</w:t>
      </w:r>
    </w:p>
    <w:p w14:paraId="4371EE8E">
      <w:pPr>
        <w:pStyle w:val="8"/>
        <w:keepNext w:val="0"/>
        <w:keepLines w:val="0"/>
        <w:pageBreakBefore w:val="0"/>
        <w:widowControl w:val="0"/>
        <w:kinsoku/>
        <w:wordWrap/>
        <w:overflowPunct/>
        <w:topLinePunct w:val="0"/>
        <w:bidi w:val="0"/>
        <w:snapToGrid/>
        <w:spacing w:line="480" w:lineRule="exact"/>
        <w:ind w:firstLine="640" w:firstLineChars="200"/>
        <w:rPr>
          <w:rFonts w:hint="eastAsia"/>
          <w:color w:val="auto"/>
          <w:sz w:val="32"/>
          <w:szCs w:val="32"/>
          <w:lang w:val="en-US" w:eastAsia="zh-CN"/>
        </w:rPr>
      </w:pPr>
      <w:r>
        <w:rPr>
          <w:rFonts w:hint="eastAsia"/>
          <w:color w:val="auto"/>
          <w:sz w:val="32"/>
          <w:szCs w:val="32"/>
          <w:lang w:val="en-US" w:eastAsia="zh-CN"/>
        </w:rPr>
        <w:t>6、《询问笔录》（2026年5月22日）1份，证明当事人存在使用上述检定不合格的电子计价秤的事实。和在未取得《营业执照》和《小餐饮登记证》的情况下从事烧鸭、烤鹅销售活动的事实。</w:t>
      </w:r>
    </w:p>
    <w:p w14:paraId="058FBF02">
      <w:pPr>
        <w:pStyle w:val="8"/>
        <w:keepNext w:val="0"/>
        <w:keepLines w:val="0"/>
        <w:pageBreakBefore w:val="0"/>
        <w:widowControl w:val="0"/>
        <w:kinsoku/>
        <w:wordWrap/>
        <w:overflowPunct/>
        <w:topLinePunct w:val="0"/>
        <w:bidi w:val="0"/>
        <w:snapToGrid/>
        <w:spacing w:line="480" w:lineRule="exact"/>
        <w:ind w:firstLine="640" w:firstLineChars="200"/>
        <w:rPr>
          <w:rFonts w:hint="eastAsia"/>
          <w:color w:val="auto"/>
          <w:sz w:val="32"/>
          <w:szCs w:val="32"/>
          <w:lang w:val="en-US" w:eastAsia="zh-CN"/>
        </w:rPr>
      </w:pPr>
      <w:r>
        <w:rPr>
          <w:rFonts w:hint="eastAsia"/>
          <w:color w:val="auto"/>
          <w:sz w:val="32"/>
          <w:szCs w:val="32"/>
          <w:lang w:val="en-US" w:eastAsia="zh-CN"/>
        </w:rPr>
        <w:t xml:space="preserve">以上证据1、2、4、5、6均由经营者签名确认。 </w:t>
      </w:r>
    </w:p>
    <w:p w14:paraId="2010AFCF">
      <w:pPr>
        <w:pStyle w:val="8"/>
        <w:keepNext w:val="0"/>
        <w:keepLines w:val="0"/>
        <w:pageBreakBefore w:val="0"/>
        <w:widowControl w:val="0"/>
        <w:kinsoku/>
        <w:wordWrap/>
        <w:overflowPunct/>
        <w:topLinePunct w:val="0"/>
        <w:bidi w:val="0"/>
        <w:snapToGrid/>
        <w:spacing w:line="480" w:lineRule="exact"/>
        <w:ind w:firstLine="640" w:firstLineChars="200"/>
        <w:rPr>
          <w:rFonts w:hint="eastAsia"/>
          <w:color w:val="auto"/>
          <w:sz w:val="32"/>
          <w:szCs w:val="32"/>
          <w:lang w:val="en-US" w:eastAsia="zh-CN"/>
        </w:rPr>
      </w:pPr>
      <w:r>
        <w:rPr>
          <w:rFonts w:hint="eastAsia"/>
          <w:color w:val="auto"/>
          <w:sz w:val="32"/>
          <w:szCs w:val="32"/>
          <w:lang w:val="en-US" w:eastAsia="zh-CN"/>
        </w:rPr>
        <w:t>2026年7月8日我局向当事人送达了《行政处罚告知书》（柳北市监罚告〔2026〕61号），告知当事人我局拟作出行政处罚的事实、理由、依据、处罚内容及享有的权利。当事人在法定期限内未提出陈述、申辩。</w:t>
      </w:r>
    </w:p>
    <w:p w14:paraId="2577E095">
      <w:pPr>
        <w:pStyle w:val="8"/>
        <w:keepNext w:val="0"/>
        <w:keepLines w:val="0"/>
        <w:pageBreakBefore w:val="0"/>
        <w:widowControl w:val="0"/>
        <w:kinsoku/>
        <w:wordWrap/>
        <w:overflowPunct/>
        <w:topLinePunct w:val="0"/>
        <w:bidi w:val="0"/>
        <w:snapToGrid/>
        <w:spacing w:line="480" w:lineRule="exact"/>
        <w:ind w:firstLine="640" w:firstLineChars="200"/>
        <w:rPr>
          <w:rFonts w:hint="eastAsia"/>
          <w:color w:val="auto"/>
          <w:sz w:val="32"/>
          <w:szCs w:val="32"/>
          <w:lang w:val="en-US" w:eastAsia="zh-CN"/>
        </w:rPr>
      </w:pPr>
      <w:r>
        <w:rPr>
          <w:rFonts w:hint="eastAsia" w:ascii="Times New Roman" w:hAnsi="Times New Roman" w:eastAsia="仿宋_GB2312" w:cs="Times New Roman"/>
          <w:color w:val="auto"/>
          <w:sz w:val="32"/>
          <w:szCs w:val="32"/>
          <w:highlight w:val="none"/>
          <w:lang w:val="en-US" w:eastAsia="zh-CN"/>
        </w:rPr>
        <w:t>当事人从事</w:t>
      </w:r>
      <w:r>
        <w:rPr>
          <w:rFonts w:hint="eastAsia" w:ascii="仿宋_GB2312" w:hAnsi="Times New Roman" w:eastAsia="仿宋_GB2312" w:cs="仿宋_GB2312"/>
          <w:color w:val="auto"/>
          <w:kern w:val="2"/>
          <w:sz w:val="32"/>
          <w:szCs w:val="24"/>
          <w:u w:val="none"/>
          <w:lang w:val="en-US" w:eastAsia="zh-CN" w:bidi="ar-SA"/>
        </w:rPr>
        <w:t>烧卤熟食销售活动在白沙农贸市场内有固定经营场地，面积为4平方，经营条件简单，从业人员仅1人，</w:t>
      </w:r>
      <w:r>
        <w:rPr>
          <w:rFonts w:hint="eastAsia" w:ascii="Times New Roman" w:hAnsi="Times New Roman" w:eastAsia="仿宋_GB2312" w:cs="Times New Roman"/>
          <w:color w:val="auto"/>
          <w:sz w:val="32"/>
          <w:szCs w:val="32"/>
          <w:highlight w:val="none"/>
          <w:lang w:val="en-US" w:eastAsia="zh-CN"/>
        </w:rPr>
        <w:t>未达到办理食品经营许可证的要求，根据《广西壮族自治区食品小作坊小餐饮和食品摊贩管理条例》第二条</w:t>
      </w:r>
      <w:bookmarkStart w:id="3" w:name="tiao_2_kuan_1"/>
      <w:bookmarkEnd w:id="3"/>
      <w:r>
        <w:rPr>
          <w:rFonts w:hint="eastAsia" w:ascii="Times New Roman" w:hAnsi="Times New Roman" w:eastAsia="仿宋_GB2312" w:cs="Times New Roman"/>
          <w:color w:val="auto"/>
          <w:sz w:val="32"/>
          <w:szCs w:val="32"/>
          <w:highlight w:val="none"/>
          <w:lang w:val="en-US" w:eastAsia="zh-CN"/>
        </w:rPr>
        <w:t>第三款的规定，属于食品小餐饮。</w:t>
      </w:r>
    </w:p>
    <w:p w14:paraId="3FB6CF72">
      <w:pPr>
        <w:keepNext w:val="0"/>
        <w:keepLines w:val="0"/>
        <w:pageBreakBefore w:val="0"/>
        <w:widowControl w:val="0"/>
        <w:kinsoku/>
        <w:wordWrap/>
        <w:overflowPunct/>
        <w:topLinePunct w:val="0"/>
        <w:bidi w:val="0"/>
        <w:snapToGrid/>
        <w:spacing w:line="48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当事人使用检定不合格的电子计价秤的行为，违反了《中华人民共和国计量法实施细则》第二十二条的规定，属于使用不合格的计量器具的行为，违法所得无法计算。</w:t>
      </w:r>
    </w:p>
    <w:p w14:paraId="2C94235C">
      <w:pPr>
        <w:keepNext w:val="0"/>
        <w:keepLines w:val="0"/>
        <w:pageBreakBefore w:val="0"/>
        <w:widowControl w:val="0"/>
        <w:kinsoku/>
        <w:wordWrap/>
        <w:overflowPunct/>
        <w:topLinePunct w:val="0"/>
        <w:bidi w:val="0"/>
        <w:snapToGrid/>
        <w:spacing w:line="48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当事人未取得《营业执照》和《小餐饮登记证》从事烧鸭、烤鹅销售活动的行为，违反了《无证无照经营查处办法》第二条、《广西壮族自治区食品小作坊小餐饮和食品摊贩管理条例》第十七条第二款的规定，属于无证无照从事食品经营活动的行为。</w:t>
      </w:r>
    </w:p>
    <w:p w14:paraId="631B67F2">
      <w:pPr>
        <w:keepNext w:val="0"/>
        <w:keepLines w:val="0"/>
        <w:pageBreakBefore w:val="0"/>
        <w:widowControl w:val="0"/>
        <w:kinsoku/>
        <w:wordWrap/>
        <w:overflowPunct/>
        <w:topLinePunct w:val="0"/>
        <w:bidi w:val="0"/>
        <w:snapToGrid/>
        <w:spacing w:line="48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对于当事人使用不合格的计量器具的行为，依据《中华人民共和国计量法实施细则》第四十六条、《中华人民共和国行政处罚法》第二十八条第一款的规定，我局决定责令当事人立即改正该违法行为，并处以1.没收上述检定不合格电子计价秤（制造单位：鑫利达）1台、2.罚款人民币壹仟元整（¥1000.00）的行政处罚。</w:t>
      </w:r>
    </w:p>
    <w:p w14:paraId="659A3481">
      <w:pPr>
        <w:keepNext w:val="0"/>
        <w:keepLines w:val="0"/>
        <w:pageBreakBefore w:val="0"/>
        <w:widowControl w:val="0"/>
        <w:kinsoku/>
        <w:wordWrap/>
        <w:overflowPunct/>
        <w:topLinePunct w:val="0"/>
        <w:bidi w:val="0"/>
        <w:snapToGrid/>
        <w:spacing w:line="48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对于当事人无证无照从事食品经营活动的行为，依据《无证无照经营查处办法》第五条、第七条、《广西壮族自治区食品小作坊小餐饮和食品摊贩管理条例》第三十七条的规定，我局决定责令当事人立即改正该违法行为，并给予警告的行政处罚。</w:t>
      </w:r>
    </w:p>
    <w:p w14:paraId="010EBB13">
      <w:pPr>
        <w:keepNext w:val="0"/>
        <w:keepLines w:val="0"/>
        <w:pageBreakBefore w:val="0"/>
        <w:widowControl w:val="0"/>
        <w:kinsoku/>
        <w:wordWrap/>
        <w:overflowPunct/>
        <w:topLinePunct w:val="0"/>
        <w:bidi w:val="0"/>
        <w:snapToGrid/>
        <w:spacing w:line="48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综上，我局决定责令当事人立即改正上述违法行为，并给予当事人以下行政处罚：</w:t>
      </w:r>
    </w:p>
    <w:p w14:paraId="1A93B029">
      <w:pPr>
        <w:keepNext w:val="0"/>
        <w:keepLines w:val="0"/>
        <w:pageBreakBefore w:val="0"/>
        <w:widowControl w:val="0"/>
        <w:kinsoku/>
        <w:wordWrap/>
        <w:overflowPunct/>
        <w:topLinePunct w:val="0"/>
        <w:bidi w:val="0"/>
        <w:snapToGrid/>
        <w:spacing w:line="48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1、警告；</w:t>
      </w:r>
    </w:p>
    <w:p w14:paraId="13AC3BC1">
      <w:pPr>
        <w:keepNext w:val="0"/>
        <w:keepLines w:val="0"/>
        <w:pageBreakBefore w:val="0"/>
        <w:widowControl w:val="0"/>
        <w:kinsoku/>
        <w:wordWrap/>
        <w:overflowPunct/>
        <w:topLinePunct w:val="0"/>
        <w:bidi w:val="0"/>
        <w:snapToGrid/>
        <w:spacing w:line="48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2、没收上述检定不合格电子计价秤（制造单位：鑫利达）1台；</w:t>
      </w:r>
    </w:p>
    <w:p w14:paraId="72E2431C">
      <w:pPr>
        <w:keepNext w:val="0"/>
        <w:keepLines w:val="0"/>
        <w:pageBreakBefore w:val="0"/>
        <w:widowControl w:val="0"/>
        <w:kinsoku/>
        <w:wordWrap/>
        <w:overflowPunct/>
        <w:topLinePunct w:val="0"/>
        <w:bidi w:val="0"/>
        <w:snapToGrid/>
        <w:spacing w:line="48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3、罚款人民币壹仟元整（¥1000.00）。</w:t>
      </w:r>
    </w:p>
    <w:p w14:paraId="237C576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当事人应当自收到本行政处罚决定书之日起十五日内，凭《广西壮族自治区非税收入电子缴款通知书》到中国建设银行缴纳罚款。</w:t>
      </w:r>
      <w:r>
        <w:rPr>
          <w:rFonts w:hint="eastAsia" w:ascii="仿宋_GB2312" w:hAnsi="仿宋_GB2312" w:eastAsia="仿宋_GB2312" w:cs="仿宋_GB2312"/>
          <w:color w:val="auto"/>
          <w:sz w:val="32"/>
          <w:szCs w:val="32"/>
          <w:u w:val="none"/>
          <w:lang w:eastAsia="zh-CN"/>
        </w:rPr>
        <w:t>逾</w:t>
      </w:r>
      <w:r>
        <w:rPr>
          <w:rFonts w:hint="eastAsia" w:ascii="仿宋_GB2312" w:hAnsi="仿宋_GB2312" w:eastAsia="仿宋_GB2312" w:cs="仿宋_GB2312"/>
          <w:color w:val="auto"/>
          <w:sz w:val="32"/>
          <w:szCs w:val="32"/>
          <w:u w:val="none"/>
        </w:rPr>
        <w:t>期不缴纳罚款的，依据《中华人民共和国行政处罚法》</w:t>
      </w:r>
      <w:r>
        <w:rPr>
          <w:rFonts w:hint="eastAsia" w:ascii="仿宋_GB2312" w:hAnsi="仿宋_GB2312" w:eastAsia="仿宋_GB2312" w:cs="仿宋_GB2312"/>
          <w:color w:val="auto"/>
          <w:kern w:val="0"/>
          <w:sz w:val="32"/>
          <w:szCs w:val="32"/>
          <w:u w:val="none"/>
          <w:lang w:val="en-US" w:eastAsia="zh-CN" w:bidi="ar"/>
        </w:rPr>
        <w:t>第七十二条</w:t>
      </w:r>
      <w:r>
        <w:rPr>
          <w:rFonts w:hint="eastAsia" w:ascii="仿宋_GB2312" w:hAnsi="仿宋_GB2312" w:eastAsia="仿宋_GB2312" w:cs="仿宋_GB2312"/>
          <w:color w:val="auto"/>
          <w:sz w:val="32"/>
          <w:szCs w:val="32"/>
          <w:u w:val="none"/>
        </w:rPr>
        <w:t>的规定，我局将每日按罚款数额的百分之三加处罚款，并依法申请人民法院强制执行。</w:t>
      </w:r>
    </w:p>
    <w:p w14:paraId="401910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当事人如不服本行政处罚决定，可以在接到本行政处罚决定书之日起六十日内</w:t>
      </w:r>
      <w:r>
        <w:rPr>
          <w:rFonts w:hint="eastAsia" w:ascii="仿宋_GB2312" w:hAnsi="仿宋_GB2312" w:eastAsia="仿宋_GB2312" w:cs="仿宋_GB2312"/>
          <w:color w:val="auto"/>
          <w:sz w:val="32"/>
          <w:szCs w:val="32"/>
          <w:u w:val="none"/>
          <w:lang w:eastAsia="zh-CN"/>
        </w:rPr>
        <w:t>向</w:t>
      </w:r>
      <w:r>
        <w:rPr>
          <w:rFonts w:hint="eastAsia" w:ascii="仿宋_GB2312" w:hAnsi="仿宋_GB2312" w:eastAsia="仿宋_GB2312" w:cs="仿宋_GB2312"/>
          <w:color w:val="auto"/>
          <w:sz w:val="32"/>
          <w:szCs w:val="32"/>
          <w:u w:val="none"/>
        </w:rPr>
        <w:t>柳州市柳北区人民政府申请行政复议；也可以在</w:t>
      </w:r>
      <w:r>
        <w:rPr>
          <w:rFonts w:hint="eastAsia" w:ascii="仿宋_GB2312" w:hAnsi="仿宋_GB2312" w:eastAsia="仿宋_GB2312" w:cs="仿宋_GB2312"/>
          <w:color w:val="auto"/>
          <w:sz w:val="32"/>
          <w:szCs w:val="32"/>
          <w:u w:val="none"/>
          <w:lang w:eastAsia="zh-CN"/>
        </w:rPr>
        <w:t>六个月</w:t>
      </w:r>
      <w:r>
        <w:rPr>
          <w:rFonts w:hint="eastAsia" w:ascii="仿宋_GB2312" w:hAnsi="仿宋_GB2312" w:eastAsia="仿宋_GB2312" w:cs="仿宋_GB2312"/>
          <w:color w:val="auto"/>
          <w:sz w:val="32"/>
          <w:szCs w:val="32"/>
          <w:u w:val="none"/>
        </w:rPr>
        <w:t>内依法向柳州市柳</w:t>
      </w:r>
      <w:r>
        <w:rPr>
          <w:rFonts w:hint="eastAsia" w:ascii="仿宋_GB2312" w:hAnsi="仿宋_GB2312" w:eastAsia="仿宋_GB2312" w:cs="仿宋_GB2312"/>
          <w:color w:val="auto"/>
          <w:sz w:val="32"/>
          <w:szCs w:val="32"/>
          <w:u w:val="none"/>
          <w:lang w:eastAsia="zh-CN"/>
        </w:rPr>
        <w:t>南</w:t>
      </w:r>
      <w:r>
        <w:rPr>
          <w:rFonts w:hint="eastAsia" w:ascii="仿宋_GB2312" w:hAnsi="仿宋_GB2312" w:eastAsia="仿宋_GB2312" w:cs="仿宋_GB2312"/>
          <w:color w:val="auto"/>
          <w:sz w:val="32"/>
          <w:szCs w:val="32"/>
          <w:u w:val="none"/>
        </w:rPr>
        <w:t>区人民法院提起行政诉讼。申请行政复议或者提起行政诉讼期间，行政处罚不停止执行。</w:t>
      </w:r>
    </w:p>
    <w:p w14:paraId="4BF3E15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u w:val="none"/>
        </w:rPr>
        <w:t xml:space="preserve"> </w:t>
      </w:r>
      <w:r>
        <w:rPr>
          <w:rFonts w:hint="eastAsia" w:ascii="仿宋_GB2312" w:hAnsi="仿宋_GB2312" w:eastAsia="仿宋_GB2312" w:cs="仿宋_GB2312"/>
          <w:color w:val="auto"/>
          <w:sz w:val="32"/>
          <w:szCs w:val="32"/>
          <w:u w:val="none"/>
        </w:rPr>
        <w:t xml:space="preserve">                        </w:t>
      </w:r>
    </w:p>
    <w:p w14:paraId="583C2F7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柳州市</w:t>
      </w:r>
      <w:r>
        <w:rPr>
          <w:rFonts w:hint="eastAsia" w:ascii="仿宋_GB2312" w:hAnsi="仿宋_GB2312" w:eastAsia="仿宋_GB2312" w:cs="仿宋_GB2312"/>
          <w:color w:val="auto"/>
          <w:sz w:val="32"/>
          <w:szCs w:val="32"/>
          <w:u w:val="none"/>
          <w:lang w:eastAsia="zh-CN"/>
        </w:rPr>
        <w:t>柳北</w:t>
      </w:r>
      <w:r>
        <w:rPr>
          <w:rFonts w:hint="eastAsia" w:ascii="仿宋_GB2312" w:hAnsi="仿宋_GB2312" w:eastAsia="仿宋_GB2312" w:cs="仿宋_GB2312"/>
          <w:color w:val="auto"/>
          <w:sz w:val="32"/>
          <w:szCs w:val="32"/>
          <w:u w:val="none"/>
        </w:rPr>
        <w:t xml:space="preserve">区市场监督管理局          </w:t>
      </w:r>
    </w:p>
    <w:p w14:paraId="0674ABE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center"/>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 xml:space="preserve">                           2026</w:t>
      </w:r>
      <w:r>
        <w:rPr>
          <w:rFonts w:hint="eastAsia" w:ascii="仿宋_GB2312" w:hAnsi="仿宋_GB2312" w:eastAsia="仿宋_GB2312" w:cs="仿宋_GB2312"/>
          <w:color w:val="auto"/>
          <w:sz w:val="32"/>
          <w:szCs w:val="32"/>
          <w:u w:val="none"/>
        </w:rPr>
        <w:t>年</w:t>
      </w:r>
      <w:r>
        <w:rPr>
          <w:rFonts w:hint="eastAsia" w:ascii="仿宋_GB2312" w:hAnsi="仿宋_GB2312" w:eastAsia="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rPr>
        <w:t>月</w:t>
      </w:r>
      <w:r>
        <w:rPr>
          <w:rFonts w:hint="eastAsia" w:ascii="仿宋_GB2312" w:hAnsi="仿宋_GB2312" w:eastAsia="仿宋_GB2312" w:cs="仿宋_GB2312"/>
          <w:color w:val="auto"/>
          <w:sz w:val="32"/>
          <w:szCs w:val="32"/>
          <w:u w:val="none"/>
          <w:lang w:val="en-US" w:eastAsia="zh-CN"/>
        </w:rPr>
        <w:t>16</w:t>
      </w:r>
      <w:r>
        <w:rPr>
          <w:rFonts w:hint="eastAsia" w:ascii="仿宋_GB2312" w:hAnsi="仿宋_GB2312" w:eastAsia="仿宋_GB2312" w:cs="仿宋_GB2312"/>
          <w:color w:val="auto"/>
          <w:sz w:val="32"/>
          <w:szCs w:val="32"/>
          <w:u w:val="none"/>
        </w:rPr>
        <w:t xml:space="preserve">日  </w:t>
      </w:r>
    </w:p>
    <w:p w14:paraId="49222080">
      <w:pPr>
        <w:keepNext w:val="0"/>
        <w:keepLines w:val="0"/>
        <w:pageBreakBefore w:val="0"/>
        <w:widowControl w:val="0"/>
        <w:kinsoku/>
        <w:wordWrap/>
        <w:overflowPunct/>
        <w:topLinePunct w:val="0"/>
        <w:autoSpaceDE/>
        <w:autoSpaceDN/>
        <w:bidi w:val="0"/>
        <w:adjustRightInd/>
        <w:snapToGrid/>
        <w:spacing w:line="560" w:lineRule="exact"/>
        <w:ind w:left="0" w:leftChars="0" w:right="-105" w:rightChars="-50"/>
        <w:jc w:val="both"/>
        <w:textAlignment w:val="auto"/>
        <w:outlineLvl w:val="9"/>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w w:val="98"/>
          <w:sz w:val="32"/>
          <w:szCs w:val="32"/>
          <w:u w:val="none"/>
          <w:lang w:eastAsia="zh-CN"/>
        </w:rPr>
        <w:t>（市场监督管理部门将依法向社会公开行政处罚决定信息）</w:t>
      </w:r>
    </w:p>
    <w:p w14:paraId="41FCFF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color w:val="auto"/>
        </w:rPr>
      </w:pPr>
      <w:r>
        <w:rPr>
          <w:color w:val="auto"/>
          <w:sz w:val="32"/>
          <w:u w:val="none"/>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pt;margin-top:5.95pt;height:0.05pt;width:433.5pt;z-index:251659264;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wDyi0wAAAAcBAAAPAAAAAAAAAAEAIAAAACIAAABkcnMvZG93bnJldi54bWxQSwEC&#10;FAAUAAAACACHTuJAsRbMDPkBAAD0AwAADgAAAAAAAAABACAAAAAi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32"/>
          <w:szCs w:val="32"/>
          <w:u w:val="none"/>
          <w:lang w:eastAsia="zh-CN"/>
        </w:rPr>
        <w:t>本文书一式三份，一份送达，一份归档</w:t>
      </w:r>
      <w:r>
        <w:rPr>
          <w:rFonts w:hint="eastAsia" w:ascii="仿宋_GB2312" w:hAnsi="仿宋_GB2312" w:eastAsia="仿宋_GB2312" w:cs="仿宋_GB2312"/>
          <w:color w:val="auto"/>
          <w:sz w:val="32"/>
          <w:szCs w:val="32"/>
          <w:u w:val="none"/>
        </w:rPr>
        <w:t>，一份</w:t>
      </w:r>
      <w:r>
        <w:rPr>
          <w:rFonts w:hint="eastAsia" w:ascii="仿宋_GB2312" w:hAnsi="仿宋_GB2312" w:eastAsia="仿宋_GB2312" w:cs="仿宋_GB2312"/>
          <w:color w:val="auto"/>
          <w:sz w:val="32"/>
          <w:szCs w:val="32"/>
          <w:u w:val="none"/>
          <w:lang w:eastAsia="zh-CN"/>
        </w:rPr>
        <w:t>办案机构</w:t>
      </w:r>
      <w:r>
        <w:rPr>
          <w:rFonts w:hint="eastAsia" w:ascii="仿宋_GB2312" w:hAnsi="仿宋_GB2312" w:eastAsia="仿宋_GB2312" w:cs="仿宋_GB2312"/>
          <w:color w:val="auto"/>
          <w:sz w:val="32"/>
          <w:szCs w:val="32"/>
          <w:u w:val="none"/>
        </w:rPr>
        <w:t>留存</w:t>
      </w:r>
      <w:r>
        <w:rPr>
          <w:rFonts w:hint="eastAsia" w:ascii="仿宋_GB2312" w:hAnsi="仿宋_GB2312" w:eastAsia="仿宋_GB2312" w:cs="仿宋_GB2312"/>
          <w:color w:val="auto"/>
          <w:sz w:val="32"/>
          <w:szCs w:val="32"/>
          <w:u w:val="none"/>
          <w:lang w:eastAsia="zh-CN"/>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0"/>
    <w:family w:val="roman"/>
    <w:pitch w:val="default"/>
    <w:sig w:usb0="00008003"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93FD5">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D28D3">
                          <w:pPr>
                            <w:pStyle w:val="4"/>
                            <w:rPr>
                              <w:rFonts w:hint="eastAsia" w:ascii="宋体" w:hAnsi="宋体" w:eastAsia="宋体" w:cs="宋体"/>
                              <w:sz w:val="28"/>
                              <w:szCs w:val="28"/>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0D28D3">
                    <w:pPr>
                      <w:pStyle w:val="4"/>
                      <w:rPr>
                        <w:rFonts w:hint="eastAsia" w:ascii="宋体" w:hAnsi="宋体" w:eastAsia="宋体" w:cs="宋体"/>
                        <w:sz w:val="28"/>
                        <w:szCs w:val="28"/>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ZmI1NmM0NTFmZTU5ZDUyNjZiMTM4MjRlMDJmYTcifQ=="/>
    <w:docVar w:name="KSO_WPS_MARK_KEY" w:val="e0e0a264-4759-4521-88aa-fd686ed44552"/>
  </w:docVars>
  <w:rsids>
    <w:rsidRoot w:val="5BA419F7"/>
    <w:rsid w:val="00193C35"/>
    <w:rsid w:val="0032134F"/>
    <w:rsid w:val="015676BF"/>
    <w:rsid w:val="02B83402"/>
    <w:rsid w:val="046837CA"/>
    <w:rsid w:val="04BA1C3F"/>
    <w:rsid w:val="04CD463F"/>
    <w:rsid w:val="04FA4431"/>
    <w:rsid w:val="062E1218"/>
    <w:rsid w:val="06BAE61F"/>
    <w:rsid w:val="071C7669"/>
    <w:rsid w:val="072E2862"/>
    <w:rsid w:val="0776795A"/>
    <w:rsid w:val="07F7533D"/>
    <w:rsid w:val="07FE68EB"/>
    <w:rsid w:val="08076446"/>
    <w:rsid w:val="08365B64"/>
    <w:rsid w:val="08F23066"/>
    <w:rsid w:val="098E3ABC"/>
    <w:rsid w:val="0AA44133"/>
    <w:rsid w:val="0AE84FF2"/>
    <w:rsid w:val="0B22091D"/>
    <w:rsid w:val="0C89564B"/>
    <w:rsid w:val="0C8F133F"/>
    <w:rsid w:val="0CA33BCC"/>
    <w:rsid w:val="0CF71776"/>
    <w:rsid w:val="0D096D81"/>
    <w:rsid w:val="0D3861B5"/>
    <w:rsid w:val="0F611949"/>
    <w:rsid w:val="0FFFE86C"/>
    <w:rsid w:val="103E22C5"/>
    <w:rsid w:val="10653E4F"/>
    <w:rsid w:val="10B71E79"/>
    <w:rsid w:val="110F7D08"/>
    <w:rsid w:val="1350279A"/>
    <w:rsid w:val="14203063"/>
    <w:rsid w:val="143E1E38"/>
    <w:rsid w:val="1525639D"/>
    <w:rsid w:val="152E563E"/>
    <w:rsid w:val="15AD1A1E"/>
    <w:rsid w:val="15B93156"/>
    <w:rsid w:val="163836F0"/>
    <w:rsid w:val="165035D4"/>
    <w:rsid w:val="17B865FB"/>
    <w:rsid w:val="18325353"/>
    <w:rsid w:val="18B229B2"/>
    <w:rsid w:val="19FE4517"/>
    <w:rsid w:val="1ABE5DA1"/>
    <w:rsid w:val="1AC07E1A"/>
    <w:rsid w:val="1B7802A0"/>
    <w:rsid w:val="1BC65F68"/>
    <w:rsid w:val="1C67350C"/>
    <w:rsid w:val="1E2525B5"/>
    <w:rsid w:val="1F2B5D07"/>
    <w:rsid w:val="1F6752CB"/>
    <w:rsid w:val="1FD31F15"/>
    <w:rsid w:val="20D648C2"/>
    <w:rsid w:val="21505C8B"/>
    <w:rsid w:val="220B2CE7"/>
    <w:rsid w:val="22F55C75"/>
    <w:rsid w:val="24084D2B"/>
    <w:rsid w:val="24626694"/>
    <w:rsid w:val="24B52CCE"/>
    <w:rsid w:val="24E75A37"/>
    <w:rsid w:val="253C3E23"/>
    <w:rsid w:val="258D6CE0"/>
    <w:rsid w:val="261119A9"/>
    <w:rsid w:val="27053D24"/>
    <w:rsid w:val="276E08C0"/>
    <w:rsid w:val="2A9F8649"/>
    <w:rsid w:val="2AEA2DB3"/>
    <w:rsid w:val="2B075FE6"/>
    <w:rsid w:val="2B1B3EFC"/>
    <w:rsid w:val="2CCD678E"/>
    <w:rsid w:val="2CCF5C64"/>
    <w:rsid w:val="2CEA3815"/>
    <w:rsid w:val="2DE10173"/>
    <w:rsid w:val="2E794AE0"/>
    <w:rsid w:val="2ECC3CD5"/>
    <w:rsid w:val="2F327E79"/>
    <w:rsid w:val="2F7CE1EF"/>
    <w:rsid w:val="2FE8594F"/>
    <w:rsid w:val="2FF54ED3"/>
    <w:rsid w:val="3015257C"/>
    <w:rsid w:val="30DB5683"/>
    <w:rsid w:val="3118030D"/>
    <w:rsid w:val="32F3303B"/>
    <w:rsid w:val="34BD4037"/>
    <w:rsid w:val="353B4E25"/>
    <w:rsid w:val="3585615B"/>
    <w:rsid w:val="361C25FD"/>
    <w:rsid w:val="368E5656"/>
    <w:rsid w:val="36961967"/>
    <w:rsid w:val="36B70655"/>
    <w:rsid w:val="377FBB27"/>
    <w:rsid w:val="378D0FB6"/>
    <w:rsid w:val="37F16547"/>
    <w:rsid w:val="38B63DA7"/>
    <w:rsid w:val="39B21228"/>
    <w:rsid w:val="3A4E178D"/>
    <w:rsid w:val="3A5E6B4F"/>
    <w:rsid w:val="3BF97ECA"/>
    <w:rsid w:val="3C2965F0"/>
    <w:rsid w:val="3D217658"/>
    <w:rsid w:val="3F2604DF"/>
    <w:rsid w:val="3F3106BC"/>
    <w:rsid w:val="3F6783E4"/>
    <w:rsid w:val="3FFF82D4"/>
    <w:rsid w:val="402E7C06"/>
    <w:rsid w:val="40FE5F8F"/>
    <w:rsid w:val="425049CE"/>
    <w:rsid w:val="43730AB0"/>
    <w:rsid w:val="45CA7D80"/>
    <w:rsid w:val="45EC0A45"/>
    <w:rsid w:val="46EB783F"/>
    <w:rsid w:val="48943F06"/>
    <w:rsid w:val="48C10000"/>
    <w:rsid w:val="4A2B0A3A"/>
    <w:rsid w:val="4AE96ACE"/>
    <w:rsid w:val="4B0A02C2"/>
    <w:rsid w:val="4BBE3774"/>
    <w:rsid w:val="4C0201EE"/>
    <w:rsid w:val="4C02380F"/>
    <w:rsid w:val="4CC8271B"/>
    <w:rsid w:val="50B15470"/>
    <w:rsid w:val="544C2111"/>
    <w:rsid w:val="548173AF"/>
    <w:rsid w:val="552A59CF"/>
    <w:rsid w:val="57503162"/>
    <w:rsid w:val="58025EF8"/>
    <w:rsid w:val="58702637"/>
    <w:rsid w:val="591F0542"/>
    <w:rsid w:val="59924E91"/>
    <w:rsid w:val="5A817C1D"/>
    <w:rsid w:val="5AF92E81"/>
    <w:rsid w:val="5B152C85"/>
    <w:rsid w:val="5B1E5F8A"/>
    <w:rsid w:val="5BA419F7"/>
    <w:rsid w:val="5BF91583"/>
    <w:rsid w:val="5BFB2E57"/>
    <w:rsid w:val="5C1E2E18"/>
    <w:rsid w:val="5D201067"/>
    <w:rsid w:val="5D3C19FB"/>
    <w:rsid w:val="5DD7483B"/>
    <w:rsid w:val="5E4719BC"/>
    <w:rsid w:val="5E5FAB03"/>
    <w:rsid w:val="5F08663C"/>
    <w:rsid w:val="5F9FEDD5"/>
    <w:rsid w:val="5FBEF003"/>
    <w:rsid w:val="5FE33914"/>
    <w:rsid w:val="5FFA4D85"/>
    <w:rsid w:val="602422E6"/>
    <w:rsid w:val="60711800"/>
    <w:rsid w:val="60DE4ED0"/>
    <w:rsid w:val="612E7E8C"/>
    <w:rsid w:val="613C3374"/>
    <w:rsid w:val="61402C9C"/>
    <w:rsid w:val="616C4C70"/>
    <w:rsid w:val="61A65EC3"/>
    <w:rsid w:val="62012A77"/>
    <w:rsid w:val="636F6DEF"/>
    <w:rsid w:val="63FD5863"/>
    <w:rsid w:val="64607667"/>
    <w:rsid w:val="649C61C5"/>
    <w:rsid w:val="64E43803"/>
    <w:rsid w:val="669D12B6"/>
    <w:rsid w:val="66EF4576"/>
    <w:rsid w:val="671465AA"/>
    <w:rsid w:val="689E2CBC"/>
    <w:rsid w:val="69005B2E"/>
    <w:rsid w:val="6AD7030F"/>
    <w:rsid w:val="6BCC1BB9"/>
    <w:rsid w:val="6D923254"/>
    <w:rsid w:val="6E04767D"/>
    <w:rsid w:val="6E6950E9"/>
    <w:rsid w:val="6F732ABB"/>
    <w:rsid w:val="6F9E6F2E"/>
    <w:rsid w:val="6FEF5D19"/>
    <w:rsid w:val="6FF58B64"/>
    <w:rsid w:val="6FF8F863"/>
    <w:rsid w:val="70CF02CA"/>
    <w:rsid w:val="71013020"/>
    <w:rsid w:val="7376089F"/>
    <w:rsid w:val="73851C79"/>
    <w:rsid w:val="74574479"/>
    <w:rsid w:val="75B2DA43"/>
    <w:rsid w:val="75BD90DB"/>
    <w:rsid w:val="75F9713C"/>
    <w:rsid w:val="76C00A6A"/>
    <w:rsid w:val="7794703F"/>
    <w:rsid w:val="77DF8BD4"/>
    <w:rsid w:val="77EFD5CC"/>
    <w:rsid w:val="77FB2266"/>
    <w:rsid w:val="77FFADAC"/>
    <w:rsid w:val="7874060E"/>
    <w:rsid w:val="7ABD4419"/>
    <w:rsid w:val="7BFD6076"/>
    <w:rsid w:val="7C8E43D6"/>
    <w:rsid w:val="7DA813EB"/>
    <w:rsid w:val="7DED72FF"/>
    <w:rsid w:val="7DFF108F"/>
    <w:rsid w:val="7E0250CA"/>
    <w:rsid w:val="7E6C6CF7"/>
    <w:rsid w:val="7EED8AE6"/>
    <w:rsid w:val="91BF8AB9"/>
    <w:rsid w:val="9FF1B21D"/>
    <w:rsid w:val="B7BFD803"/>
    <w:rsid w:val="BD5EB179"/>
    <w:rsid w:val="BD7F788E"/>
    <w:rsid w:val="DEFF1EB3"/>
    <w:rsid w:val="DF3F4C88"/>
    <w:rsid w:val="DF7A9960"/>
    <w:rsid w:val="DFBF15D5"/>
    <w:rsid w:val="DFD70EC8"/>
    <w:rsid w:val="DFFE6C63"/>
    <w:rsid w:val="E53DE605"/>
    <w:rsid w:val="ECC7B000"/>
    <w:rsid w:val="F0ED2927"/>
    <w:rsid w:val="F3EF5848"/>
    <w:rsid w:val="F5A28C7E"/>
    <w:rsid w:val="F9BF6AE4"/>
    <w:rsid w:val="FB57F652"/>
    <w:rsid w:val="FBBF88F6"/>
    <w:rsid w:val="FBFEBC90"/>
    <w:rsid w:val="FD7BEF22"/>
    <w:rsid w:val="FD8BB826"/>
    <w:rsid w:val="FD9199D6"/>
    <w:rsid w:val="FDAC17BA"/>
    <w:rsid w:val="FDDF4064"/>
    <w:rsid w:val="FDF46C9E"/>
    <w:rsid w:val="FEDEBCAC"/>
    <w:rsid w:val="FF7F62AA"/>
    <w:rsid w:val="FFDBA3A8"/>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2311</Words>
  <Characters>2436</Characters>
  <Lines>0</Lines>
  <Paragraphs>0</Paragraphs>
  <TotalTime>5</TotalTime>
  <ScaleCrop>false</ScaleCrop>
  <LinksUpToDate>false</LinksUpToDate>
  <CharactersWithSpaces>2519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2021-08-01T18:04:00Z</dcterms:created>
  <dc:creator>胖林宝宝噜啦噜～</dc:creator>
  <cp:lastModifiedBy>蕃蕃</cp:lastModifiedBy>
  <cp:lastPrinted>2024-12-11T09:03:00Z</cp:lastPrinted>
  <dcterms:modified xsi:type="dcterms:W3CDTF">2026-07-22T00:59:53Z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D72953CE06DF424E9BBBDBBE3C139D9A_13</vt:lpwstr>
  </property>
  <property fmtid="{D5CDD505-2E9C-101B-9397-08002B2CF9AE}" pid="4" name="KSOTemplateDocerSaveRecord">
    <vt:lpwstr>eyJoZGlkIjoiNjljYzBiNmJkNjNmYjA3MDkwNzQ4ZTM5NDc1MTY5NDgiLCJ1c2VySWQiOiI5MTQwNjk2NTMifQ==</vt:lpwstr>
  </property>
</Properties>
</file>