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A71F2">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u w:val="none"/>
          <w:lang w:eastAsia="zh-CN"/>
        </w:rPr>
        <w:t>柳州市</w:t>
      </w:r>
      <w:r>
        <w:rPr>
          <w:rFonts w:hint="default" w:ascii="方正小标宋简体" w:hAnsi="方正小标宋简体" w:eastAsia="方正小标宋简体" w:cs="方正小标宋简体"/>
          <w:color w:val="auto"/>
          <w:sz w:val="44"/>
          <w:u w:val="none"/>
        </w:rPr>
        <w:t>柳北区市场监督管理局</w:t>
      </w:r>
      <w:bookmarkEnd w:id="0"/>
    </w:p>
    <w:p w14:paraId="66471EA4">
      <w:pPr>
        <w:pStyle w:val="2"/>
        <w:keepNext w:val="0"/>
        <w:numPr>
          <w:ilvl w:val="0"/>
          <w:numId w:val="2"/>
        </w:numPr>
        <w:spacing w:before="0" w:after="0" w:line="640" w:lineRule="exact"/>
        <w:jc w:val="center"/>
        <w:rPr>
          <w:rFonts w:hint="eastAsia" w:ascii="方正小标宋简体" w:hAnsi="方正小标宋简体" w:eastAsia="方正小标宋简体" w:cs="方正小标宋简体"/>
          <w:color w:val="auto"/>
          <w:sz w:val="44"/>
          <w:szCs w:val="44"/>
        </w:rPr>
      </w:pPr>
      <w:bookmarkStart w:id="1" w:name="_Toc76683344"/>
      <w:r>
        <w:rPr>
          <w:rFonts w:hint="eastAsia" w:ascii="方正小标宋简体" w:hAnsi="方正小标宋简体" w:eastAsia="方正小标宋简体" w:cs="方正小标宋简体"/>
          <w:color w:val="auto"/>
          <w:sz w:val="44"/>
          <w:szCs w:val="44"/>
          <w:u w:val="none"/>
          <w:lang w:val="en-US"/>
        </w:rPr>
        <w:t>行政处罚</w:t>
      </w:r>
      <w:r>
        <w:rPr>
          <w:rFonts w:hint="eastAsia" w:ascii="方正小标宋简体" w:hAnsi="方正小标宋简体" w:eastAsia="方正小标宋简体" w:cs="方正小标宋简体"/>
          <w:color w:val="auto"/>
          <w:sz w:val="44"/>
          <w:szCs w:val="44"/>
          <w:u w:val="none"/>
          <w:lang w:val="en-US" w:eastAsia="zh-Hans"/>
        </w:rPr>
        <w:t>决定</w:t>
      </w:r>
      <w:r>
        <w:rPr>
          <w:rFonts w:hint="eastAsia" w:ascii="方正小标宋简体" w:hAnsi="方正小标宋简体" w:eastAsia="方正小标宋简体" w:cs="方正小标宋简体"/>
          <w:color w:val="auto"/>
          <w:sz w:val="44"/>
          <w:szCs w:val="44"/>
          <w:u w:val="none"/>
          <w:lang w:val="en-US"/>
        </w:rPr>
        <w:t>书</w:t>
      </w:r>
      <w:bookmarkEnd w:id="1"/>
    </w:p>
    <w:p w14:paraId="42622930">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u w:val="none"/>
        </w:rPr>
        <w:t>柳北市监处罚〔202</w:t>
      </w:r>
      <w:r>
        <w:rPr>
          <w:rFonts w:hint="eastAsia" w:ascii="Times New Roman" w:hAnsi="Times New Roman" w:eastAsia="仿宋_GB2312" w:cs="Mongolian Baiti"/>
          <w:color w:val="auto"/>
          <w:sz w:val="32"/>
          <w:u w:val="none"/>
          <w:lang w:val="en-US" w:eastAsia="zh-CN"/>
        </w:rPr>
        <w:t>6</w:t>
      </w:r>
      <w:r>
        <w:rPr>
          <w:rFonts w:hint="eastAsia" w:ascii="Times New Roman" w:hAnsi="Times New Roman" w:eastAsia="仿宋_GB2312" w:cs="Mongolian Baiti"/>
          <w:color w:val="auto"/>
          <w:sz w:val="32"/>
          <w:u w:val="none"/>
        </w:rPr>
        <w:t>〕</w:t>
      </w:r>
      <w:r>
        <w:rPr>
          <w:rFonts w:hint="eastAsia" w:ascii="Times New Roman" w:hAnsi="Times New Roman" w:eastAsia="仿宋_GB2312" w:cs="Mongolian Baiti"/>
          <w:color w:val="auto"/>
          <w:sz w:val="32"/>
          <w:u w:val="none"/>
          <w:lang w:val="en-US" w:eastAsia="zh-CN"/>
        </w:rPr>
        <w:t>78</w:t>
      </w:r>
      <w:r>
        <w:rPr>
          <w:rFonts w:hint="eastAsia" w:ascii="Times New Roman" w:hAnsi="Times New Roman" w:eastAsia="仿宋_GB2312" w:cs="Mongolian Baiti"/>
          <w:color w:val="auto"/>
          <w:sz w:val="32"/>
          <w:u w:val="none"/>
        </w:rPr>
        <w:t>号</w:t>
      </w:r>
      <w:bookmarkEnd w:id="2"/>
    </w:p>
    <w:p w14:paraId="282B65B4">
      <w:pPr>
        <w:keepNext w:val="0"/>
        <w:keepLines w:val="0"/>
        <w:pageBreakBefore w:val="0"/>
        <w:widowControl w:val="0"/>
        <w:kinsoku/>
        <w:wordWrap/>
        <w:overflowPunct/>
        <w:topLinePunct w:val="0"/>
        <w:autoSpaceDE/>
        <w:autoSpaceDN/>
        <w:bidi w:val="0"/>
        <w:adjustRightInd w:val="0"/>
        <w:snapToGrid/>
        <w:spacing w:line="50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p>
    <w:p w14:paraId="7CD3DE90">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textAlignment w:val="baseline"/>
        <w:rPr>
          <w:rFonts w:hint="eastAsia" w:ascii="仿宋_GB2312" w:hAnsi="Times New Roman" w:eastAsia="仿宋_GB2312" w:cs="仿宋_GB2312"/>
          <w:color w:val="auto"/>
          <w:sz w:val="32"/>
          <w:szCs w:val="32"/>
          <w:highlight w:val="none"/>
          <w:u w:val="none"/>
          <w:lang w:val="en-US" w:eastAsia="zh-CN"/>
        </w:rPr>
      </w:pPr>
      <w:r>
        <w:rPr>
          <w:rFonts w:hint="eastAsia" w:ascii="仿宋_GB2312" w:hAnsi="仿宋_GB2312" w:eastAsia="仿宋_GB2312" w:cs="仿宋_GB2312"/>
          <w:bCs/>
          <w:color w:val="auto"/>
          <w:sz w:val="32"/>
          <w:szCs w:val="32"/>
          <w:u w:val="none" w:color="auto"/>
          <w:lang w:val="en-US" w:eastAsia="zh-CN"/>
        </w:rPr>
        <w:t>当事人：</w:t>
      </w:r>
      <w:r>
        <w:rPr>
          <w:rFonts w:hint="eastAsia" w:ascii="仿宋_GB2312" w:hAnsi="仿宋" w:eastAsia="仿宋_GB2312" w:cs="仿宋"/>
          <w:color w:val="auto"/>
          <w:spacing w:val="-8"/>
          <w:sz w:val="32"/>
          <w:szCs w:val="32"/>
          <w:u w:val="none"/>
          <w:lang w:val="en-US" w:eastAsia="zh-CN"/>
        </w:rPr>
        <w:t>兰艳明</w:t>
      </w:r>
    </w:p>
    <w:p w14:paraId="2AA968E6">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主体资格证照名称：</w:t>
      </w:r>
      <w:r>
        <w:rPr>
          <w:rFonts w:hint="eastAsia" w:ascii="仿宋_GB2312" w:hAnsi="仿宋_GB2312" w:eastAsia="仿宋_GB2312" w:cs="仿宋_GB2312"/>
          <w:color w:val="auto"/>
          <w:kern w:val="1"/>
          <w:sz w:val="32"/>
          <w:szCs w:val="32"/>
          <w:u w:val="none"/>
          <w:lang w:val="en-US" w:eastAsia="zh-CN"/>
        </w:rPr>
        <w:t>营业执照</w:t>
      </w:r>
      <w:r>
        <w:rPr>
          <w:rFonts w:hint="eastAsia" w:ascii="仿宋_GB2312" w:hAnsi="仿宋_GB2312" w:eastAsia="仿宋_GB2312" w:cs="仿宋_GB2312"/>
          <w:bCs/>
          <w:color w:val="auto"/>
          <w:sz w:val="32"/>
          <w:szCs w:val="32"/>
          <w:u w:val="none" w:color="auto"/>
          <w:lang w:val="en-US" w:eastAsia="zh-CN"/>
        </w:rPr>
        <w:t xml:space="preserve">  </w:t>
      </w:r>
      <w:bookmarkStart w:id="3" w:name="_GoBack"/>
      <w:bookmarkEnd w:id="3"/>
    </w:p>
    <w:p w14:paraId="28867A8A">
      <w:pPr>
        <w:pStyle w:val="8"/>
        <w:keepNext w:val="0"/>
        <w:keepLines w:val="0"/>
        <w:pageBreakBefore w:val="0"/>
        <w:widowControl w:val="0"/>
        <w:kinsoku/>
        <w:wordWrap/>
        <w:overflowPunct/>
        <w:topLinePunct w:val="0"/>
        <w:bidi w:val="0"/>
        <w:snapToGrid/>
        <w:spacing w:line="560" w:lineRule="exact"/>
        <w:rPr>
          <w:rFonts w:hint="eastAsia" w:ascii="仿宋_GB2312" w:hAnsi="Times New Roman" w:eastAsia="仿宋_GB2312" w:cs="仿宋_GB2312"/>
          <w:color w:val="auto"/>
          <w:sz w:val="32"/>
          <w:szCs w:val="32"/>
          <w:u w:val="none"/>
        </w:rPr>
      </w:pPr>
      <w:r>
        <w:rPr>
          <w:rFonts w:hint="eastAsia" w:ascii="仿宋_GB2312" w:hAnsi="Times New Roman" w:eastAsia="仿宋_GB2312" w:cs="仿宋_GB2312"/>
          <w:color w:val="auto"/>
          <w:sz w:val="32"/>
          <w:szCs w:val="32"/>
          <w:u w:val="none"/>
        </w:rPr>
        <w:t>注册号</w:t>
      </w:r>
      <w:r>
        <w:rPr>
          <w:rFonts w:hint="eastAsia" w:hAnsi="Times New Roman" w:cs="仿宋_GB2312"/>
          <w:color w:val="auto"/>
          <w:sz w:val="32"/>
          <w:szCs w:val="32"/>
          <w:u w:val="none"/>
          <w:lang w:eastAsia="zh-CN"/>
        </w:rPr>
        <w:t>：</w:t>
      </w:r>
      <w:r>
        <w:rPr>
          <w:rFonts w:hint="eastAsia" w:ascii="仿宋_GB2312" w:hAnsi="Times New Roman" w:eastAsia="仿宋_GB2312" w:cs="仿宋_GB2312"/>
          <w:color w:val="auto"/>
          <w:sz w:val="32"/>
          <w:szCs w:val="32"/>
          <w:u w:val="none"/>
        </w:rPr>
        <w:t>450205600168227</w:t>
      </w:r>
    </w:p>
    <w:p w14:paraId="3CA77B3A">
      <w:pPr>
        <w:pStyle w:val="8"/>
        <w:keepNext w:val="0"/>
        <w:keepLines w:val="0"/>
        <w:pageBreakBefore w:val="0"/>
        <w:widowControl w:val="0"/>
        <w:kinsoku/>
        <w:wordWrap/>
        <w:overflowPunct/>
        <w:topLinePunct w:val="0"/>
        <w:bidi w:val="0"/>
        <w:snapToGrid/>
        <w:spacing w:line="560" w:lineRule="exact"/>
        <w:rPr>
          <w:rFonts w:hint="eastAsia" w:ascii="仿宋_GB2312" w:hAnsi="Times New Roman" w:eastAsia="仿宋_GB2312" w:cs="仿宋_GB2312"/>
          <w:color w:val="auto"/>
          <w:sz w:val="32"/>
          <w:szCs w:val="32"/>
          <w:u w:val="none"/>
        </w:rPr>
      </w:pPr>
      <w:r>
        <w:rPr>
          <w:rFonts w:hint="eastAsia" w:ascii="仿宋_GB2312" w:hAnsi="Times New Roman" w:eastAsia="仿宋_GB2312" w:cs="仿宋_GB2312"/>
          <w:color w:val="auto"/>
          <w:sz w:val="32"/>
          <w:szCs w:val="32"/>
          <w:u w:val="none"/>
        </w:rPr>
        <w:t>经营场所：柳州市白沙农贸综合市场门面区73号</w:t>
      </w:r>
    </w:p>
    <w:p w14:paraId="57BC3E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auto"/>
          <w:sz w:val="32"/>
          <w:szCs w:val="32"/>
          <w:u w:val="none" w:color="auto"/>
          <w:lang w:val="en-US" w:eastAsia="zh-CN"/>
        </w:rPr>
        <w:t>身份证件号码：*</w:t>
      </w:r>
    </w:p>
    <w:p w14:paraId="585C47E5">
      <w:pPr>
        <w:pStyle w:val="8"/>
        <w:keepNext w:val="0"/>
        <w:keepLines w:val="0"/>
        <w:pageBreakBefore w:val="0"/>
        <w:widowControl w:val="0"/>
        <w:kinsoku/>
        <w:wordWrap/>
        <w:overflowPunct/>
        <w:topLinePunct w:val="0"/>
        <w:bidi w:val="0"/>
        <w:snapToGrid/>
        <w:spacing w:line="560" w:lineRule="exact"/>
        <w:rPr>
          <w:rFonts w:hint="eastAsia"/>
          <w:color w:val="auto"/>
          <w:lang w:val="en-US" w:eastAsia="zh-CN"/>
        </w:rPr>
      </w:pPr>
    </w:p>
    <w:p w14:paraId="3BABAD9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 xml:space="preserve">2026年4月23日我局执法人员对当事人进行检查时，发现当事人在经营活动中用于贸易结算的一台电子计价秤（制造单位：上海有源电子有限公司），放置2kg标准砝码称重时，重量显示4.600市斤。当事人涉嫌使用不合格电子计价秤，执法人员现场对该电子计价秤进行抽样送检，经批准后于2026年4月27日对当事人的上述行为进行立案调查。2026年5月18日，我局收到柳州市计量技术测试研究所出具的证书编号为HLH26050017号的《检定结果通知书》，检定结论为不合格。2026年5月18日我局向当事人送达了《检定结果告知书》（柳北市监检鉴结〔2026〕6号）和上述《检定结果通知书》，依法对上述电子计价秤采取扣押的行政强制措施。当事人在法定期限内未提出复检申请。  </w:t>
      </w:r>
      <w:r>
        <w:rPr>
          <w:rFonts w:hint="eastAsia" w:ascii="仿宋_GB2312" w:hAnsi="仿宋_GB2312" w:eastAsia="仿宋_GB2312" w:cs="仿宋_GB2312"/>
          <w:color w:val="auto"/>
          <w:sz w:val="32"/>
          <w:szCs w:val="32"/>
          <w:u w:val="none"/>
          <w:lang w:val="en-US" w:eastAsia="zh-CN"/>
        </w:rPr>
        <w:t xml:space="preserve"> </w:t>
      </w:r>
    </w:p>
    <w:p w14:paraId="44151C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经查实，</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于2026年4月23日被我局依法查获时，在柳州市白沙农贸综合市场门面区73号从事家禽经营活动中用于贸易结算的一台电子计价秤（制造单位：上海有源电子有限公司），经柳州市计量技术测试研究所检定并出具证书编号为HLH26050017号的《检定结果通知书》记载：“计量器具名称：电子计价秤，型号/规格：ACS-30型，出厂编号：不详（兰艳明），制造单位：上海友源电子有限公司，检定结论：不合格。其中1、检定项目：计量单位检定结果为不合格，该秤的计量单位为“市斤”，为非法定计量单位；2、检定项目：计量的安全性检定结果为不符合，该秤未加有铅封，且存在不破坏铅封就能对秤进行与计量性能有关的参数调整的情况；3、该秤存在欺骗性使用特征。经试验，开机后，按“9”→“去皮”后，进入作弊状态，通过按下不同的按键改变称量示值。”因</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在经营过程中未建立进销台账记录，故营业性收入无法计算。</w:t>
      </w:r>
    </w:p>
    <w:p w14:paraId="18A227C0">
      <w:pPr>
        <w:keepNext w:val="0"/>
        <w:keepLines w:val="0"/>
        <w:pageBreakBefore w:val="0"/>
        <w:widowControl w:val="0"/>
        <w:tabs>
          <w:tab w:val="left" w:pos="720"/>
        </w:tabs>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上述事实，主要有以下证据证明：</w:t>
      </w:r>
    </w:p>
    <w:p w14:paraId="3E5F983B">
      <w:pPr>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eastAsia" w:ascii="仿宋" w:hAnsi="仿宋" w:eastAsia="仿宋" w:cs="仿宋"/>
          <w:color w:val="auto"/>
          <w:sz w:val="32"/>
          <w:szCs w:val="32"/>
          <w:highlight w:val="none"/>
          <w:shd w:val="clear" w:color="auto" w:fill="auto"/>
        </w:rPr>
      </w:pPr>
      <w:r>
        <w:rPr>
          <w:rFonts w:hint="eastAsia" w:ascii="仿宋_GB2312" w:hAnsi="Times New Roman" w:eastAsia="仿宋_GB2312" w:cs="仿宋_GB2312"/>
          <w:color w:val="auto"/>
          <w:sz w:val="32"/>
          <w:u w:val="none"/>
          <w:lang w:val="en-US" w:eastAsia="zh-CN"/>
        </w:rPr>
        <w:t>1、</w:t>
      </w:r>
      <w:r>
        <w:rPr>
          <w:rFonts w:hint="eastAsia" w:ascii="仿宋_GB2312" w:hAnsi="仿宋_GB2312" w:eastAsia="仿宋_GB2312" w:cs="仿宋_GB2312"/>
          <w:bCs/>
          <w:color w:val="auto"/>
          <w:sz w:val="32"/>
          <w:szCs w:val="32"/>
        </w:rPr>
        <w:t>当事人的</w:t>
      </w:r>
      <w:r>
        <w:rPr>
          <w:rFonts w:hint="eastAsia" w:ascii="仿宋_GB2312" w:hAnsi="仿宋_GB2312" w:eastAsia="仿宋_GB2312" w:cs="仿宋_GB2312"/>
          <w:color w:val="auto"/>
          <w:sz w:val="32"/>
          <w:szCs w:val="32"/>
        </w:rPr>
        <w:t>《营业执照》复印件1份，</w:t>
      </w:r>
      <w:r>
        <w:rPr>
          <w:rFonts w:hint="eastAsia" w:ascii="仿宋_GB2312" w:hAnsi="仿宋_GB2312" w:eastAsia="仿宋_GB2312" w:cs="仿宋_GB2312"/>
          <w:color w:val="auto"/>
          <w:sz w:val="32"/>
          <w:szCs w:val="32"/>
          <w:lang w:eastAsia="zh-CN"/>
        </w:rPr>
        <w:t>经营者兰艳明</w:t>
      </w:r>
      <w:r>
        <w:rPr>
          <w:rFonts w:hint="eastAsia" w:ascii="仿宋_GB2312" w:hAnsi="仿宋_GB2312" w:eastAsia="仿宋_GB2312" w:cs="仿宋_GB2312"/>
          <w:color w:val="auto"/>
          <w:kern w:val="0"/>
          <w:sz w:val="32"/>
          <w:szCs w:val="32"/>
          <w:lang w:eastAsia="zh-CN"/>
        </w:rPr>
        <w:t>身</w:t>
      </w:r>
      <w:r>
        <w:rPr>
          <w:rFonts w:hint="eastAsia" w:ascii="仿宋_GB2312" w:hAnsi="仿宋_GB2312" w:eastAsia="仿宋_GB2312" w:cs="仿宋_GB2312"/>
          <w:color w:val="auto"/>
          <w:sz w:val="32"/>
          <w:szCs w:val="32"/>
        </w:rPr>
        <w:t>份证复印件1份</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证明当事人的主体资格和</w:t>
      </w:r>
      <w:r>
        <w:rPr>
          <w:rFonts w:hint="eastAsia" w:ascii="仿宋_GB2312" w:hAnsi="仿宋_GB2312" w:eastAsia="仿宋_GB2312" w:cs="仿宋_GB2312"/>
          <w:color w:val="auto"/>
          <w:sz w:val="32"/>
          <w:szCs w:val="32"/>
          <w:lang w:eastAsia="zh-CN"/>
        </w:rPr>
        <w:t>经营者</w:t>
      </w:r>
      <w:r>
        <w:rPr>
          <w:rFonts w:hint="eastAsia" w:ascii="仿宋_GB2312" w:hAnsi="仿宋_GB2312" w:eastAsia="仿宋_GB2312" w:cs="仿宋_GB2312"/>
          <w:color w:val="auto"/>
          <w:sz w:val="32"/>
          <w:szCs w:val="32"/>
          <w:highlight w:val="none"/>
          <w:shd w:val="clear" w:color="auto" w:fill="auto"/>
        </w:rPr>
        <w:t>的身份信息。</w:t>
      </w:r>
    </w:p>
    <w:p w14:paraId="3C517915">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2、2026年4月23日我局执法人员对当事人进行现场检查制作的《现场笔录》1份、《计量器具抽样登记表》（编号：柳北计量抽〔2026〕第I042301号）1份，证据提取单</w:t>
      </w:r>
      <w:r>
        <w:rPr>
          <w:rFonts w:hint="eastAsia" w:ascii="仿宋_GB2312" w:hAnsi="Times New Roman" w:eastAsia="仿宋_GB2312" w:cs="仿宋_GB2312"/>
          <w:color w:val="auto"/>
          <w:sz w:val="32"/>
          <w:highlight w:val="none"/>
          <w:u w:val="none"/>
          <w:lang w:val="en-US" w:eastAsia="zh-CN"/>
        </w:rPr>
        <w:t>4份</w:t>
      </w:r>
      <w:r>
        <w:rPr>
          <w:rFonts w:hint="eastAsia" w:ascii="仿宋_GB2312" w:hAnsi="Times New Roman" w:eastAsia="仿宋_GB2312" w:cs="仿宋_GB2312"/>
          <w:color w:val="auto"/>
          <w:sz w:val="32"/>
          <w:u w:val="none"/>
          <w:lang w:val="en-US" w:eastAsia="zh-CN"/>
        </w:rPr>
        <w:t>、证明我局对当事人的检查及抽样情况；</w:t>
      </w:r>
    </w:p>
    <w:p w14:paraId="089D9E4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default" w:ascii="仿宋_GB2312" w:hAnsi="Times New Roman" w:eastAsia="仿宋_GB2312" w:cs="仿宋_GB2312"/>
          <w:color w:val="auto"/>
          <w:sz w:val="32"/>
          <w:highlight w:val="yellow"/>
          <w:u w:val="none"/>
          <w:lang w:val="en-US" w:eastAsia="zh-CN"/>
        </w:rPr>
      </w:pPr>
      <w:r>
        <w:rPr>
          <w:rFonts w:hint="eastAsia" w:ascii="仿宋_GB2312" w:hAnsi="Times New Roman" w:eastAsia="仿宋_GB2312" w:cs="仿宋_GB2312"/>
          <w:color w:val="auto"/>
          <w:sz w:val="32"/>
          <w:u w:val="none"/>
          <w:lang w:val="en-US" w:eastAsia="zh-CN"/>
        </w:rPr>
        <w:t>3、《检定委托书》（柳北市监检鉴委〔2026〕6号）1份，</w:t>
      </w:r>
      <w:r>
        <w:rPr>
          <w:rFonts w:hint="eastAsia" w:ascii="仿宋_GB2312" w:hAnsi="仿宋_GB2312" w:eastAsia="仿宋_GB2312" w:cs="仿宋_GB2312"/>
          <w:color w:val="auto"/>
          <w:sz w:val="32"/>
          <w:szCs w:val="32"/>
          <w:highlight w:val="none"/>
          <w:lang w:val="en-US" w:eastAsia="zh-CN"/>
        </w:rPr>
        <w:t>柳州市计量技术测试研究所资质证书复印件1份，</w:t>
      </w:r>
      <w:r>
        <w:rPr>
          <w:rFonts w:hint="eastAsia" w:ascii="仿宋_GB2312" w:hAnsi="Times New Roman" w:eastAsia="仿宋_GB2312" w:cs="仿宋_GB2312"/>
          <w:color w:val="auto"/>
          <w:sz w:val="32"/>
          <w:u w:val="none"/>
          <w:lang w:val="en-US" w:eastAsia="zh-CN"/>
        </w:rPr>
        <w:t>证明我局依法委托柳州市计量技术测试研究所对当事人</w:t>
      </w:r>
      <w:r>
        <w:rPr>
          <w:rFonts w:hint="eastAsia" w:ascii="仿宋_GB2312" w:hAnsi="仿宋_GB2312" w:eastAsia="仿宋_GB2312" w:cs="仿宋_GB2312"/>
          <w:color w:val="auto"/>
          <w:sz w:val="32"/>
          <w:szCs w:val="32"/>
          <w:lang w:val="en-US" w:eastAsia="zh-CN"/>
        </w:rPr>
        <w:t>用于贸易结算</w:t>
      </w:r>
      <w:r>
        <w:rPr>
          <w:rFonts w:hint="eastAsia" w:ascii="仿宋_GB2312" w:hAnsi="Times New Roman" w:eastAsia="仿宋_GB2312" w:cs="仿宋_GB2312"/>
          <w:color w:val="auto"/>
          <w:sz w:val="32"/>
          <w:u w:val="none"/>
          <w:lang w:val="en-US" w:eastAsia="zh-CN"/>
        </w:rPr>
        <w:t>的上述的电子计价秤进行检定</w:t>
      </w:r>
      <w:r>
        <w:rPr>
          <w:rFonts w:hint="eastAsia" w:ascii="仿宋_GB2312" w:hAnsi="仿宋_GB2312" w:eastAsia="仿宋_GB2312" w:cs="仿宋_GB2312"/>
          <w:color w:val="auto"/>
          <w:sz w:val="32"/>
          <w:szCs w:val="32"/>
          <w:highlight w:val="none"/>
          <w:lang w:val="en-US" w:eastAsia="zh-CN"/>
        </w:rPr>
        <w:t>及柳州市计量技术测试研究所具有检定电子计价秤的资格。</w:t>
      </w:r>
    </w:p>
    <w:p w14:paraId="6D9EDDF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4、《检定结果告知书》（柳北市监检鉴结〔2026〕6号）和《检定结果通知书》（证书编号：HLH26050017号）各1份，证明涉案的电子计价秤检定结论为不合格；</w:t>
      </w:r>
    </w:p>
    <w:p w14:paraId="03C5719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5、2026年5月18日制作的《现场笔录》1份、《实施行政强制措施决定书》（柳北市监强制〔2026〕19号、附《财物清单》）1份、证据提取单1份，证明我局对当事人在经营中使用的上述不合格的电子计价秤采取扣押行政强制措施；</w:t>
      </w:r>
    </w:p>
    <w:p w14:paraId="5680BC09">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《询问笔录》（2026年5月22日）1份，证明当事人存在使用上述检定不合格的电子计价秤的事实。</w:t>
      </w:r>
    </w:p>
    <w:p w14:paraId="54D38E9C">
      <w:pPr>
        <w:pStyle w:val="8"/>
        <w:ind w:firstLine="640" w:firstLineChars="20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以上证据1、2、4、5、6均由经营者签名确认。</w:t>
      </w:r>
    </w:p>
    <w:p w14:paraId="28032E6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szCs w:val="32"/>
          <w:u w:val="none"/>
          <w:lang w:val="en-US" w:eastAsia="zh-CN"/>
        </w:rPr>
        <w:t>2026年7月8日我局向当事人送达了《行政处罚告知书》（柳北市监罚告〔2026〕60号），告知当事人我局拟作出行政处罚的事实、理由、依据、处罚内容及享有的权利。当事人在法定期限内未提出陈述、申辩。</w:t>
      </w:r>
    </w:p>
    <w:p w14:paraId="6466AD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的上述行为，违反了《中华人民共和国计量法实施细则》第二十二条的规定，属于使用不合格的计量器具的行为，违法所得无法计算。</w:t>
      </w:r>
    </w:p>
    <w:p w14:paraId="7FB2A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依据《中华人民共和国计量法实施细则》第四十六条、《中华人民共和国行政处罚法》第二十八条第一款的规定，我局</w:t>
      </w:r>
      <w:r>
        <w:rPr>
          <w:rFonts w:hint="eastAsia" w:ascii="仿宋_GB2312" w:hAnsi="仿宋_GB2312" w:eastAsia="仿宋_GB2312" w:cs="仿宋_GB2312"/>
          <w:color w:val="auto"/>
          <w:sz w:val="32"/>
          <w:szCs w:val="32"/>
          <w:u w:val="none"/>
          <w:lang w:eastAsia="zh-CN"/>
        </w:rPr>
        <w:t>决定</w:t>
      </w:r>
      <w:r>
        <w:rPr>
          <w:rFonts w:hint="eastAsia" w:ascii="仿宋_GB2312" w:hAnsi="仿宋_GB2312" w:eastAsia="仿宋_GB2312" w:cs="仿宋_GB2312"/>
          <w:color w:val="auto"/>
          <w:sz w:val="32"/>
          <w:szCs w:val="32"/>
          <w:u w:val="none"/>
        </w:rPr>
        <w:t>责令</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立即改正上述违法行为，并作如下行政处罚：</w:t>
      </w:r>
    </w:p>
    <w:p w14:paraId="4ADF8C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1.没收上述检定不合格电子计价秤（制造单位：上海有源电子有限公司）1台；</w:t>
      </w:r>
    </w:p>
    <w:p w14:paraId="5566E8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2.罚款人民币壹仟元整（¥1000.00）。</w:t>
      </w:r>
    </w:p>
    <w:p w14:paraId="237C57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当事人应当自收到本行政处罚决定书之日起十五日内，凭《广西壮族自治区非税收入电子缴款通知书》到中国建设银行缴纳罚款。</w:t>
      </w:r>
      <w:r>
        <w:rPr>
          <w:rFonts w:hint="eastAsia" w:ascii="仿宋_GB2312" w:hAnsi="仿宋_GB2312" w:eastAsia="仿宋_GB2312" w:cs="仿宋_GB2312"/>
          <w:color w:val="auto"/>
          <w:sz w:val="32"/>
          <w:szCs w:val="32"/>
          <w:u w:val="none"/>
          <w:lang w:eastAsia="zh-CN"/>
        </w:rPr>
        <w:t>逾</w:t>
      </w:r>
      <w:r>
        <w:rPr>
          <w:rFonts w:hint="eastAsia" w:ascii="仿宋_GB2312" w:hAnsi="仿宋_GB2312" w:eastAsia="仿宋_GB2312" w:cs="仿宋_GB2312"/>
          <w:color w:val="auto"/>
          <w:sz w:val="32"/>
          <w:szCs w:val="32"/>
          <w:u w:val="none"/>
        </w:rPr>
        <w:t>期不缴纳罚款的，依据《中华人民共和国行政处罚法》</w:t>
      </w:r>
      <w:r>
        <w:rPr>
          <w:rFonts w:hint="eastAsia" w:ascii="仿宋_GB2312" w:hAnsi="仿宋_GB2312" w:eastAsia="仿宋_GB2312" w:cs="仿宋_GB2312"/>
          <w:color w:val="auto"/>
          <w:kern w:val="0"/>
          <w:sz w:val="32"/>
          <w:szCs w:val="32"/>
          <w:u w:val="none"/>
          <w:lang w:val="en-US" w:eastAsia="zh-CN" w:bidi="ar"/>
        </w:rPr>
        <w:t>第七十二条</w:t>
      </w:r>
      <w:r>
        <w:rPr>
          <w:rFonts w:hint="eastAsia" w:ascii="仿宋_GB2312" w:hAnsi="仿宋_GB2312" w:eastAsia="仿宋_GB2312" w:cs="仿宋_GB2312"/>
          <w:color w:val="auto"/>
          <w:sz w:val="32"/>
          <w:szCs w:val="32"/>
          <w:u w:val="none"/>
        </w:rPr>
        <w:t>的规定，我局将每日按罚款数额的百分之三加处罚款，并依法申请人民法院强制执行。</w:t>
      </w:r>
    </w:p>
    <w:p w14:paraId="401910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当事人如不服本行政处罚决定，可以在接到本行政处罚决定书之日起六十日内</w:t>
      </w:r>
      <w:r>
        <w:rPr>
          <w:rFonts w:hint="eastAsia" w:ascii="仿宋_GB2312" w:hAnsi="仿宋_GB2312" w:eastAsia="仿宋_GB2312" w:cs="仿宋_GB2312"/>
          <w:color w:val="auto"/>
          <w:sz w:val="32"/>
          <w:szCs w:val="32"/>
          <w:u w:val="none"/>
          <w:lang w:eastAsia="zh-CN"/>
        </w:rPr>
        <w:t>向</w:t>
      </w:r>
      <w:r>
        <w:rPr>
          <w:rFonts w:hint="eastAsia" w:ascii="仿宋_GB2312" w:hAnsi="仿宋_GB2312" w:eastAsia="仿宋_GB2312" w:cs="仿宋_GB2312"/>
          <w:color w:val="auto"/>
          <w:sz w:val="32"/>
          <w:szCs w:val="32"/>
          <w:u w:val="none"/>
        </w:rPr>
        <w:t>柳州市柳北区人民政府申请行政复议；也可以在</w:t>
      </w:r>
      <w:r>
        <w:rPr>
          <w:rFonts w:hint="eastAsia" w:ascii="仿宋_GB2312" w:hAnsi="仿宋_GB2312" w:eastAsia="仿宋_GB2312" w:cs="仿宋_GB2312"/>
          <w:color w:val="auto"/>
          <w:sz w:val="32"/>
          <w:szCs w:val="32"/>
          <w:u w:val="none"/>
          <w:lang w:eastAsia="zh-CN"/>
        </w:rPr>
        <w:t>十五日</w:t>
      </w:r>
      <w:r>
        <w:rPr>
          <w:rFonts w:hint="eastAsia" w:ascii="仿宋_GB2312" w:hAnsi="仿宋_GB2312" w:eastAsia="仿宋_GB2312" w:cs="仿宋_GB2312"/>
          <w:color w:val="auto"/>
          <w:sz w:val="32"/>
          <w:szCs w:val="32"/>
          <w:u w:val="none"/>
        </w:rPr>
        <w:t>内依法向柳州市柳</w:t>
      </w:r>
      <w:r>
        <w:rPr>
          <w:rFonts w:hint="eastAsia" w:ascii="仿宋_GB2312" w:hAnsi="仿宋_GB2312" w:eastAsia="仿宋_GB2312" w:cs="仿宋_GB2312"/>
          <w:color w:val="auto"/>
          <w:sz w:val="32"/>
          <w:szCs w:val="32"/>
          <w:u w:val="none"/>
          <w:lang w:eastAsia="zh-CN"/>
        </w:rPr>
        <w:t>南</w:t>
      </w:r>
      <w:r>
        <w:rPr>
          <w:rFonts w:hint="eastAsia" w:ascii="仿宋_GB2312" w:hAnsi="仿宋_GB2312" w:eastAsia="仿宋_GB2312" w:cs="仿宋_GB2312"/>
          <w:color w:val="auto"/>
          <w:sz w:val="32"/>
          <w:szCs w:val="32"/>
          <w:u w:val="none"/>
        </w:rPr>
        <w:t>区人民法院提起行政诉讼。申请行政复议或者提起行政诉讼期间，行政处罚不停止执行。</w:t>
      </w:r>
    </w:p>
    <w:p w14:paraId="4BF3E15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14:paraId="583C2F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柳州市</w:t>
      </w:r>
      <w:r>
        <w:rPr>
          <w:rFonts w:hint="eastAsia" w:ascii="仿宋_GB2312" w:hAnsi="仿宋_GB2312" w:eastAsia="仿宋_GB2312" w:cs="仿宋_GB2312"/>
          <w:color w:val="auto"/>
          <w:sz w:val="32"/>
          <w:szCs w:val="32"/>
          <w:u w:val="none"/>
          <w:lang w:eastAsia="zh-CN"/>
        </w:rPr>
        <w:t>柳北</w:t>
      </w:r>
      <w:r>
        <w:rPr>
          <w:rFonts w:hint="eastAsia" w:ascii="仿宋_GB2312" w:hAnsi="仿宋_GB2312" w:eastAsia="仿宋_GB2312" w:cs="仿宋_GB2312"/>
          <w:color w:val="auto"/>
          <w:sz w:val="32"/>
          <w:szCs w:val="32"/>
          <w:u w:val="none"/>
        </w:rPr>
        <w:t xml:space="preserve">区市场监督管理局          </w:t>
      </w:r>
    </w:p>
    <w:p w14:paraId="0F9DF0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 xml:space="preserve">                           2026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16</w:t>
      </w:r>
      <w:r>
        <w:rPr>
          <w:rFonts w:hint="eastAsia" w:ascii="仿宋_GB2312" w:hAnsi="仿宋_GB2312" w:eastAsia="仿宋_GB2312" w:cs="仿宋_GB2312"/>
          <w:color w:val="auto"/>
          <w:sz w:val="32"/>
          <w:szCs w:val="32"/>
          <w:u w:val="none"/>
        </w:rPr>
        <w:t xml:space="preserve">日  </w:t>
      </w:r>
    </w:p>
    <w:p w14:paraId="296278A3">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6A780AF9">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2184C8A1">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0228E94B">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01DE282D">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2793A57E">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2B1F1DF3">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5B4D1825">
      <w:pPr>
        <w:pStyle w:val="8"/>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49222080">
      <w:pPr>
        <w:keepNext w:val="0"/>
        <w:keepLines w:val="0"/>
        <w:pageBreakBefore w:val="0"/>
        <w:widowControl w:val="0"/>
        <w:kinsoku/>
        <w:wordWrap/>
        <w:overflowPunct/>
        <w:topLinePunct w:val="0"/>
        <w:autoSpaceDE/>
        <w:autoSpaceDN/>
        <w:bidi w:val="0"/>
        <w:adjustRightInd/>
        <w:snapToGrid/>
        <w:spacing w:line="56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u w:val="none"/>
          <w:lang w:eastAsia="zh-CN"/>
        </w:rPr>
        <w:t>（市场监督管理部门将依法向社会公开行政处罚决定信息）</w:t>
      </w:r>
    </w:p>
    <w:p w14:paraId="41FCFF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color w:val="auto"/>
        </w:rPr>
      </w:pPr>
      <w:r>
        <w:rPr>
          <w:color w:val="auto"/>
          <w:sz w:val="32"/>
          <w:u w:val="none"/>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Dyi0wAAAAcBAAAPAAAAAAAAAAEAIAAAACIAAABkcnMvZG93bnJldi54bWxQSwEC&#10;FAAUAAAACACHTuJAsRbMDPkBAAD0AwAADgAAAAAAAAABACAAAAAi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u w:val="none"/>
          <w:lang w:eastAsia="zh-CN"/>
        </w:rPr>
        <w:t>本文书一式三份，一份送达，一份归档</w:t>
      </w:r>
      <w:r>
        <w:rPr>
          <w:rFonts w:hint="eastAsia" w:ascii="仿宋_GB2312" w:hAnsi="仿宋_GB2312" w:eastAsia="仿宋_GB2312" w:cs="仿宋_GB2312"/>
          <w:color w:val="auto"/>
          <w:sz w:val="32"/>
          <w:szCs w:val="32"/>
          <w:u w:val="none"/>
        </w:rPr>
        <w:t>，一份</w:t>
      </w:r>
      <w:r>
        <w:rPr>
          <w:rFonts w:hint="eastAsia" w:ascii="仿宋_GB2312" w:hAnsi="仿宋_GB2312" w:eastAsia="仿宋_GB2312" w:cs="仿宋_GB2312"/>
          <w:color w:val="auto"/>
          <w:sz w:val="32"/>
          <w:szCs w:val="32"/>
          <w:u w:val="none"/>
          <w:lang w:eastAsia="zh-CN"/>
        </w:rPr>
        <w:t>办案机构</w:t>
      </w:r>
      <w:r>
        <w:rPr>
          <w:rFonts w:hint="eastAsia" w:ascii="仿宋_GB2312" w:hAnsi="仿宋_GB2312" w:eastAsia="仿宋_GB2312" w:cs="仿宋_GB2312"/>
          <w:color w:val="auto"/>
          <w:sz w:val="32"/>
          <w:szCs w:val="32"/>
          <w:u w:val="none"/>
        </w:rPr>
        <w:t>留存</w:t>
      </w:r>
      <w:r>
        <w:rPr>
          <w:rFonts w:hint="eastAsia" w:ascii="仿宋_GB2312" w:hAnsi="仿宋_GB2312" w:eastAsia="仿宋_GB2312" w:cs="仿宋_GB2312"/>
          <w:color w:val="auto"/>
          <w:sz w:val="32"/>
          <w:szCs w:val="32"/>
          <w:u w:val="none"/>
          <w:lang w:eastAsia="zh-CN"/>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93FD5">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D28D3">
                          <w:pPr>
                            <w:pStyle w:val="4"/>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0D28D3">
                    <w:pPr>
                      <w:pStyle w:val="4"/>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66D6D0CF"/>
    <w:multiLevelType w:val="singleLevel"/>
    <w:tmpl w:val="66D6D0CF"/>
    <w:lvl w:ilvl="0" w:tentative="0">
      <w:start w:val="6"/>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e0e0a264-4759-4521-88aa-fd686ed44552"/>
  </w:docVars>
  <w:rsids>
    <w:rsidRoot w:val="5BA419F7"/>
    <w:rsid w:val="00193C35"/>
    <w:rsid w:val="0032134F"/>
    <w:rsid w:val="015676BF"/>
    <w:rsid w:val="02B83402"/>
    <w:rsid w:val="046837CA"/>
    <w:rsid w:val="04BA1C3F"/>
    <w:rsid w:val="04CD463F"/>
    <w:rsid w:val="04FA4431"/>
    <w:rsid w:val="062E1218"/>
    <w:rsid w:val="06BAE61F"/>
    <w:rsid w:val="071C7669"/>
    <w:rsid w:val="072E2862"/>
    <w:rsid w:val="0776795A"/>
    <w:rsid w:val="07F7533D"/>
    <w:rsid w:val="07FE68EB"/>
    <w:rsid w:val="08076446"/>
    <w:rsid w:val="08365B64"/>
    <w:rsid w:val="08A2496A"/>
    <w:rsid w:val="08F23066"/>
    <w:rsid w:val="098E3ABC"/>
    <w:rsid w:val="0AA44133"/>
    <w:rsid w:val="0AE84FF2"/>
    <w:rsid w:val="0B22091D"/>
    <w:rsid w:val="0C89564B"/>
    <w:rsid w:val="0C8F133F"/>
    <w:rsid w:val="0CA33BCC"/>
    <w:rsid w:val="0CF71776"/>
    <w:rsid w:val="0D096D81"/>
    <w:rsid w:val="0D3861B5"/>
    <w:rsid w:val="0F611949"/>
    <w:rsid w:val="0FFFE86C"/>
    <w:rsid w:val="103E22C5"/>
    <w:rsid w:val="10653E4F"/>
    <w:rsid w:val="110F7D08"/>
    <w:rsid w:val="1350279A"/>
    <w:rsid w:val="14096037"/>
    <w:rsid w:val="14203063"/>
    <w:rsid w:val="143E1E38"/>
    <w:rsid w:val="1525639D"/>
    <w:rsid w:val="152E563E"/>
    <w:rsid w:val="159E390B"/>
    <w:rsid w:val="15AD1A1E"/>
    <w:rsid w:val="15B93156"/>
    <w:rsid w:val="163836F0"/>
    <w:rsid w:val="165035D4"/>
    <w:rsid w:val="17B865FB"/>
    <w:rsid w:val="18325353"/>
    <w:rsid w:val="18B229B2"/>
    <w:rsid w:val="19FE4517"/>
    <w:rsid w:val="1A1E1AE7"/>
    <w:rsid w:val="1ABE5DA1"/>
    <w:rsid w:val="1AC07E1A"/>
    <w:rsid w:val="1B7802A0"/>
    <w:rsid w:val="1BC65F68"/>
    <w:rsid w:val="1C67350C"/>
    <w:rsid w:val="1E2525B5"/>
    <w:rsid w:val="1F2B5D07"/>
    <w:rsid w:val="1F6752CB"/>
    <w:rsid w:val="1FD31F15"/>
    <w:rsid w:val="20D648C2"/>
    <w:rsid w:val="21505C8B"/>
    <w:rsid w:val="220B2CE7"/>
    <w:rsid w:val="22F55C75"/>
    <w:rsid w:val="24084D2B"/>
    <w:rsid w:val="24626694"/>
    <w:rsid w:val="24B52CCE"/>
    <w:rsid w:val="24E75A37"/>
    <w:rsid w:val="253C3E23"/>
    <w:rsid w:val="258D6CE0"/>
    <w:rsid w:val="27053D24"/>
    <w:rsid w:val="276E08C0"/>
    <w:rsid w:val="27A80FE3"/>
    <w:rsid w:val="292A1278"/>
    <w:rsid w:val="2A9F8649"/>
    <w:rsid w:val="2AEA2DB3"/>
    <w:rsid w:val="2B075FE6"/>
    <w:rsid w:val="2B1B3EFC"/>
    <w:rsid w:val="2CCD678E"/>
    <w:rsid w:val="2CCF5C64"/>
    <w:rsid w:val="2CEA3815"/>
    <w:rsid w:val="2DE10173"/>
    <w:rsid w:val="2ECC3CD5"/>
    <w:rsid w:val="2F327E79"/>
    <w:rsid w:val="2F7CE1EF"/>
    <w:rsid w:val="2FE8594F"/>
    <w:rsid w:val="2FF54ED3"/>
    <w:rsid w:val="3015257C"/>
    <w:rsid w:val="30DB5683"/>
    <w:rsid w:val="32F3303B"/>
    <w:rsid w:val="34BD4037"/>
    <w:rsid w:val="353B4E25"/>
    <w:rsid w:val="3585615B"/>
    <w:rsid w:val="361C25FD"/>
    <w:rsid w:val="368E5656"/>
    <w:rsid w:val="36B70655"/>
    <w:rsid w:val="377FBB27"/>
    <w:rsid w:val="378D0FB6"/>
    <w:rsid w:val="37F16547"/>
    <w:rsid w:val="38B63DA7"/>
    <w:rsid w:val="39B21228"/>
    <w:rsid w:val="3A4E178D"/>
    <w:rsid w:val="3A5E6B4F"/>
    <w:rsid w:val="3BF97ECA"/>
    <w:rsid w:val="3C2965F0"/>
    <w:rsid w:val="3D217658"/>
    <w:rsid w:val="3F2604DF"/>
    <w:rsid w:val="3F3106BC"/>
    <w:rsid w:val="3F6783E4"/>
    <w:rsid w:val="3FFF82D4"/>
    <w:rsid w:val="402E7C06"/>
    <w:rsid w:val="40FE5F8F"/>
    <w:rsid w:val="425049CE"/>
    <w:rsid w:val="43730AB0"/>
    <w:rsid w:val="45CA7D80"/>
    <w:rsid w:val="45EC0A45"/>
    <w:rsid w:val="46EB783F"/>
    <w:rsid w:val="48943F06"/>
    <w:rsid w:val="48C10000"/>
    <w:rsid w:val="4A2B0A3A"/>
    <w:rsid w:val="4AE96ACE"/>
    <w:rsid w:val="4B0A02C2"/>
    <w:rsid w:val="4BBE3774"/>
    <w:rsid w:val="4C0201EE"/>
    <w:rsid w:val="4C02380F"/>
    <w:rsid w:val="4CC8271B"/>
    <w:rsid w:val="50B15470"/>
    <w:rsid w:val="544C2111"/>
    <w:rsid w:val="548173AF"/>
    <w:rsid w:val="552A59CF"/>
    <w:rsid w:val="57503162"/>
    <w:rsid w:val="58025EF8"/>
    <w:rsid w:val="58702637"/>
    <w:rsid w:val="591F0542"/>
    <w:rsid w:val="59924E91"/>
    <w:rsid w:val="5A817C1D"/>
    <w:rsid w:val="5AF92E81"/>
    <w:rsid w:val="5B152C85"/>
    <w:rsid w:val="5B1E5F8A"/>
    <w:rsid w:val="5BA419F7"/>
    <w:rsid w:val="5BF91583"/>
    <w:rsid w:val="5BFB2E57"/>
    <w:rsid w:val="5C1E2E18"/>
    <w:rsid w:val="5D201067"/>
    <w:rsid w:val="5D3C19FB"/>
    <w:rsid w:val="5DD7483B"/>
    <w:rsid w:val="5E4719BC"/>
    <w:rsid w:val="5E5FAB03"/>
    <w:rsid w:val="5F08663C"/>
    <w:rsid w:val="5F9FEDD5"/>
    <w:rsid w:val="5FBEF003"/>
    <w:rsid w:val="5FE33914"/>
    <w:rsid w:val="5FFA4D85"/>
    <w:rsid w:val="602422E6"/>
    <w:rsid w:val="60DE4ED0"/>
    <w:rsid w:val="612E7E8C"/>
    <w:rsid w:val="613C3374"/>
    <w:rsid w:val="61402C9C"/>
    <w:rsid w:val="616C4C70"/>
    <w:rsid w:val="61A65EC3"/>
    <w:rsid w:val="62012A77"/>
    <w:rsid w:val="636F6DEF"/>
    <w:rsid w:val="64607667"/>
    <w:rsid w:val="649C61C5"/>
    <w:rsid w:val="64E43803"/>
    <w:rsid w:val="669D12B6"/>
    <w:rsid w:val="66EF4576"/>
    <w:rsid w:val="671465AA"/>
    <w:rsid w:val="686F68BF"/>
    <w:rsid w:val="689E2CBC"/>
    <w:rsid w:val="69005B2E"/>
    <w:rsid w:val="6AD7030F"/>
    <w:rsid w:val="6ADE3090"/>
    <w:rsid w:val="6BCC1BB9"/>
    <w:rsid w:val="6D923254"/>
    <w:rsid w:val="6E04767D"/>
    <w:rsid w:val="6E6950E9"/>
    <w:rsid w:val="6F732ABB"/>
    <w:rsid w:val="6F9E6F2E"/>
    <w:rsid w:val="6FEF5D19"/>
    <w:rsid w:val="6FF58B64"/>
    <w:rsid w:val="6FF8F863"/>
    <w:rsid w:val="70CF02CA"/>
    <w:rsid w:val="71013020"/>
    <w:rsid w:val="7376089F"/>
    <w:rsid w:val="73851C79"/>
    <w:rsid w:val="75B2DA43"/>
    <w:rsid w:val="75BD90DB"/>
    <w:rsid w:val="75F9713C"/>
    <w:rsid w:val="76C00A6A"/>
    <w:rsid w:val="7794703F"/>
    <w:rsid w:val="77DF8BD4"/>
    <w:rsid w:val="77EFD5CC"/>
    <w:rsid w:val="77FB2266"/>
    <w:rsid w:val="77FFADAC"/>
    <w:rsid w:val="7874060E"/>
    <w:rsid w:val="7ABD4419"/>
    <w:rsid w:val="7BFD6076"/>
    <w:rsid w:val="7C8E43D6"/>
    <w:rsid w:val="7DA813EB"/>
    <w:rsid w:val="7DED72FF"/>
    <w:rsid w:val="7DFF108F"/>
    <w:rsid w:val="7E0250CA"/>
    <w:rsid w:val="7E6C6CF7"/>
    <w:rsid w:val="7EED8AE6"/>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1842</Words>
  <Characters>1976</Characters>
  <Lines>0</Lines>
  <Paragraphs>0</Paragraphs>
  <TotalTime>12</TotalTime>
  <ScaleCrop>false</ScaleCrop>
  <LinksUpToDate>false</LinksUpToDate>
  <CharactersWithSpaces>2046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2021-08-01T18:04:00Z</dcterms:created>
  <dc:creator>胖林宝宝噜啦噜～</dc:creator>
  <cp:lastModifiedBy>蕃蕃</cp:lastModifiedBy>
  <cp:lastPrinted>2024-12-11T09:03:00Z</cp:lastPrinted>
  <dcterms:modified xsi:type="dcterms:W3CDTF">2026-07-22T01:04:09Z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33623006DC2148A0973FC8E92D24F507_13</vt:lpwstr>
  </property>
  <property fmtid="{D5CDD505-2E9C-101B-9397-08002B2CF9AE}" pid="4" name="KSOTemplateDocerSaveRecord">
    <vt:lpwstr>eyJoZGlkIjoiNjljYzBiNmJkNjNmYjA3MDkwNzQ4ZTM5NDc1MTY5NDgiLCJ1c2VySWQiOiI5MTQwNjk2NTMifQ==</vt:lpwstr>
  </property>
</Properties>
</file>