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F9512C">
      <w:pPr>
        <w:spacing w:line="52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柳州市柳北区市场监督管理局</w:t>
      </w:r>
    </w:p>
    <w:p w14:paraId="194E8D2D">
      <w:pPr>
        <w:tabs>
          <w:tab w:val="left" w:pos="1649"/>
          <w:tab w:val="center" w:pos="4596"/>
        </w:tabs>
        <w:spacing w:line="520" w:lineRule="exact"/>
        <w:jc w:val="left"/>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ab/>
      </w:r>
      <w:r>
        <w:rPr>
          <w:rFonts w:hint="eastAsia" w:ascii="方正小标宋简体" w:hAnsi="方正小标宋简体" w:eastAsia="方正小标宋简体" w:cs="方正小标宋简体"/>
          <w:color w:val="auto"/>
          <w:sz w:val="44"/>
          <w:szCs w:val="44"/>
          <w:lang w:eastAsia="zh-CN"/>
        </w:rPr>
        <w:tab/>
      </w:r>
      <w:r>
        <w:rPr>
          <w:rFonts w:hint="eastAsia" w:ascii="方正小标宋简体" w:hAnsi="方正小标宋简体" w:eastAsia="方正小标宋简体" w:cs="方正小标宋简体"/>
          <w:color w:val="auto"/>
          <w:sz w:val="44"/>
          <w:szCs w:val="44"/>
        </w:rPr>
        <w:t>行政处罚决定书</w:t>
      </w:r>
    </w:p>
    <w:p w14:paraId="6C18C935">
      <w:pPr>
        <w:keepNext w:val="0"/>
        <w:keepLines w:val="0"/>
        <w:pageBreakBefore w:val="0"/>
        <w:widowControl w:val="0"/>
        <w:kinsoku/>
        <w:wordWrap/>
        <w:overflowPunct/>
        <w:topLinePunct w:val="0"/>
        <w:autoSpaceDE/>
        <w:autoSpaceDN/>
        <w:bidi w:val="0"/>
        <w:snapToGrid/>
        <w:spacing w:line="420" w:lineRule="exact"/>
        <w:ind w:left="0" w:leftChars="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柳北市监</w:t>
      </w:r>
      <w:r>
        <w:rPr>
          <w:rFonts w:hint="eastAsia" w:ascii="仿宋_GB2312" w:hAnsi="仿宋_GB2312" w:eastAsia="仿宋_GB2312" w:cs="仿宋_GB2312"/>
          <w:color w:val="auto"/>
          <w:sz w:val="32"/>
          <w:szCs w:val="32"/>
          <w:lang w:eastAsia="zh-CN"/>
        </w:rPr>
        <w:t>处</w:t>
      </w:r>
      <w:r>
        <w:rPr>
          <w:rFonts w:hint="eastAsia" w:ascii="仿宋_GB2312" w:hAnsi="仿宋_GB2312" w:eastAsia="仿宋_GB2312" w:cs="仿宋_GB2312"/>
          <w:color w:val="auto"/>
          <w:sz w:val="32"/>
          <w:szCs w:val="32"/>
        </w:rPr>
        <w:t>罚〔202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87</w:t>
      </w:r>
      <w:r>
        <w:rPr>
          <w:rFonts w:hint="eastAsia" w:ascii="仿宋_GB2312" w:hAnsi="仿宋_GB2312" w:eastAsia="仿宋_GB2312" w:cs="仿宋_GB2312"/>
          <w:color w:val="auto"/>
          <w:sz w:val="32"/>
          <w:szCs w:val="32"/>
        </w:rPr>
        <w:t>号</w:t>
      </w:r>
    </w:p>
    <w:p w14:paraId="0524D542">
      <w:pPr>
        <w:keepNext w:val="0"/>
        <w:keepLines w:val="0"/>
        <w:pageBreakBefore w:val="0"/>
        <w:widowControl w:val="0"/>
        <w:kinsoku/>
        <w:wordWrap/>
        <w:overflowPunct/>
        <w:topLinePunct w:val="0"/>
        <w:autoSpaceDE/>
        <w:autoSpaceDN/>
        <w:bidi w:val="0"/>
        <w:adjustRightInd w:val="0"/>
        <w:snapToGrid/>
        <w:spacing w:line="420" w:lineRule="exact"/>
        <w:ind w:left="0" w:leftChars="0" w:right="233" w:rightChars="111"/>
        <w:textAlignment w:val="baseline"/>
        <w:rPr>
          <w:rFonts w:ascii="仿宋_GB2312" w:hAnsi="仿宋_GB2312" w:eastAsia="仿宋_GB2312" w:cs="仿宋_GB2312"/>
          <w:color w:val="auto"/>
          <w:sz w:val="32"/>
          <w:szCs w:val="32"/>
        </w:rPr>
      </w:pPr>
    </w:p>
    <w:p w14:paraId="58787561">
      <w:pPr>
        <w:keepNext w:val="0"/>
        <w:keepLines w:val="0"/>
        <w:pageBreakBefore w:val="0"/>
        <w:widowControl w:val="0"/>
        <w:kinsoku/>
        <w:wordWrap/>
        <w:overflowPunct/>
        <w:topLinePunct w:val="0"/>
        <w:autoSpaceDE/>
        <w:autoSpaceDN/>
        <w:bidi w:val="0"/>
        <w:adjustRightInd w:val="0"/>
        <w:snapToGrid/>
        <w:spacing w:line="480" w:lineRule="exact"/>
        <w:ind w:left="0" w:leftChars="0" w:right="233" w:rightChars="111"/>
        <w:textAlignment w:val="baseline"/>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bCs/>
          <w:color w:val="auto"/>
          <w:sz w:val="32"/>
          <w:szCs w:val="32"/>
          <w:u w:val="none" w:color="auto"/>
          <w:lang w:val="en-US" w:eastAsia="zh-CN"/>
        </w:rPr>
        <w:t>当事人：</w:t>
      </w:r>
      <w:r>
        <w:rPr>
          <w:rFonts w:hint="default" w:ascii="仿宋_GB2312" w:hAnsi="仿宋_GB2312" w:eastAsia="仿宋_GB2312" w:cs="仿宋_GB2312"/>
          <w:color w:val="auto"/>
          <w:sz w:val="32"/>
          <w:szCs w:val="32"/>
          <w:u w:val="none" w:color="auto"/>
          <w:lang w:val="en-US" w:eastAsia="zh-CN"/>
        </w:rPr>
        <w:t>柳州市柳北区</w:t>
      </w:r>
      <w:r>
        <w:rPr>
          <w:rFonts w:hint="eastAsia" w:ascii="仿宋_GB2312" w:hAnsi="仿宋_GB2312" w:eastAsia="仿宋_GB2312" w:cs="仿宋_GB2312"/>
          <w:color w:val="auto"/>
          <w:sz w:val="32"/>
          <w:szCs w:val="32"/>
          <w:u w:val="none" w:color="auto"/>
          <w:lang w:val="en-US" w:eastAsia="zh-CN"/>
        </w:rPr>
        <w:t>胜碑便利店（个体工商户）</w:t>
      </w:r>
    </w:p>
    <w:p w14:paraId="3B39B9E0">
      <w:pPr>
        <w:keepNext w:val="0"/>
        <w:keepLines w:val="0"/>
        <w:pageBreakBefore w:val="0"/>
        <w:widowControl w:val="0"/>
        <w:kinsoku/>
        <w:wordWrap/>
        <w:overflowPunct/>
        <w:topLinePunct w:val="0"/>
        <w:autoSpaceDE/>
        <w:autoSpaceDN/>
        <w:bidi w:val="0"/>
        <w:adjustRightInd w:val="0"/>
        <w:snapToGrid/>
        <w:spacing w:line="480" w:lineRule="exact"/>
        <w:ind w:left="0" w:leftChars="0" w:right="233" w:rightChars="111"/>
        <w:textAlignment w:val="baseline"/>
        <w:rPr>
          <w:rFonts w:hint="eastAsia" w:ascii="仿宋_GB2312" w:hAnsi="仿宋_GB2312" w:eastAsia="仿宋_GB2312" w:cs="仿宋_GB2312"/>
          <w:bCs/>
          <w:color w:val="auto"/>
          <w:sz w:val="32"/>
          <w:szCs w:val="32"/>
          <w:u w:val="none" w:color="auto"/>
          <w:lang w:val="en-US" w:eastAsia="zh-CN"/>
        </w:rPr>
      </w:pPr>
      <w:r>
        <w:rPr>
          <w:rFonts w:hint="eastAsia" w:ascii="仿宋_GB2312" w:hAnsi="仿宋_GB2312" w:eastAsia="仿宋_GB2312" w:cs="仿宋_GB2312"/>
          <w:bCs/>
          <w:color w:val="auto"/>
          <w:sz w:val="32"/>
          <w:szCs w:val="32"/>
          <w:u w:val="none" w:color="auto"/>
          <w:lang w:val="en-US" w:eastAsia="zh-CN"/>
        </w:rPr>
        <w:t xml:space="preserve">主体资格证照名称：营业执照  </w:t>
      </w:r>
    </w:p>
    <w:p w14:paraId="563FD735">
      <w:pPr>
        <w:keepNext w:val="0"/>
        <w:keepLines w:val="0"/>
        <w:pageBreakBefore w:val="0"/>
        <w:widowControl w:val="0"/>
        <w:kinsoku/>
        <w:wordWrap/>
        <w:overflowPunct/>
        <w:topLinePunct w:val="0"/>
        <w:autoSpaceDE/>
        <w:autoSpaceDN/>
        <w:bidi w:val="0"/>
        <w:adjustRightInd w:val="0"/>
        <w:snapToGrid/>
        <w:spacing w:line="480" w:lineRule="exact"/>
        <w:ind w:left="0" w:leftChars="0" w:right="233" w:rightChars="111"/>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Cs/>
          <w:color w:val="auto"/>
          <w:sz w:val="32"/>
          <w:szCs w:val="32"/>
          <w:u w:val="none" w:color="auto"/>
          <w:lang w:val="en-US" w:eastAsia="zh-CN"/>
        </w:rPr>
        <w:t>统一社会信用代码：</w:t>
      </w:r>
      <w:r>
        <w:rPr>
          <w:rFonts w:hint="eastAsia" w:ascii="仿宋_GB2312" w:hAnsi="仿宋_GB2312" w:eastAsia="仿宋_GB2312" w:cs="仿宋_GB2312"/>
          <w:color w:val="auto"/>
          <w:sz w:val="32"/>
          <w:szCs w:val="32"/>
          <w:lang w:val="en-US" w:eastAsia="zh-CN"/>
        </w:rPr>
        <w:t>92450205MAE3GTMU7L</w:t>
      </w:r>
    </w:p>
    <w:p w14:paraId="74E06E1C">
      <w:pPr>
        <w:keepNext w:val="0"/>
        <w:keepLines w:val="0"/>
        <w:pageBreakBefore w:val="0"/>
        <w:widowControl w:val="0"/>
        <w:kinsoku/>
        <w:wordWrap/>
        <w:overflowPunct/>
        <w:topLinePunct w:val="0"/>
        <w:autoSpaceDE/>
        <w:autoSpaceDN/>
        <w:bidi w:val="0"/>
        <w:adjustRightInd w:val="0"/>
        <w:snapToGrid/>
        <w:spacing w:line="480" w:lineRule="exact"/>
        <w:ind w:left="0" w:leftChars="0" w:right="233" w:rightChars="111"/>
        <w:textAlignment w:val="baseline"/>
        <w:rPr>
          <w:rFonts w:hint="default"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bCs/>
          <w:color w:val="auto"/>
          <w:sz w:val="32"/>
          <w:szCs w:val="32"/>
          <w:u w:val="none" w:color="auto"/>
          <w:lang w:val="en-US" w:eastAsia="zh-CN"/>
        </w:rPr>
        <w:t>经营场所：</w:t>
      </w:r>
      <w:r>
        <w:rPr>
          <w:rFonts w:hint="eastAsia" w:ascii="仿宋_GB2312" w:hAnsi="仿宋_GB2312" w:eastAsia="仿宋_GB2312" w:cs="仿宋_GB2312"/>
          <w:color w:val="auto"/>
          <w:sz w:val="32"/>
          <w:szCs w:val="32"/>
          <w:u w:val="none" w:color="auto"/>
          <w:lang w:val="en-US" w:eastAsia="zh-CN"/>
        </w:rPr>
        <w:t>柳州市柳北区红碑路2号胜利建材市场五区A12、A13、A15号</w:t>
      </w:r>
    </w:p>
    <w:p w14:paraId="69FB54EA">
      <w:pPr>
        <w:keepNext w:val="0"/>
        <w:keepLines w:val="0"/>
        <w:pageBreakBefore w:val="0"/>
        <w:widowControl w:val="0"/>
        <w:kinsoku/>
        <w:wordWrap/>
        <w:overflowPunct/>
        <w:topLinePunct w:val="0"/>
        <w:autoSpaceDE/>
        <w:autoSpaceDN/>
        <w:bidi w:val="0"/>
        <w:adjustRightInd w:val="0"/>
        <w:snapToGrid/>
        <w:spacing w:line="480" w:lineRule="exact"/>
        <w:ind w:left="0" w:leftChars="0" w:right="233" w:rightChars="111"/>
        <w:textAlignment w:val="baseline"/>
        <w:rPr>
          <w:rFonts w:hint="eastAsia" w:ascii="仿宋_GB2312" w:hAnsi="仿宋_GB2312" w:eastAsia="仿宋_GB2312" w:cs="仿宋_GB2312"/>
          <w:bCs/>
          <w:color w:val="auto"/>
          <w:sz w:val="32"/>
          <w:szCs w:val="32"/>
          <w:lang w:eastAsia="zh-CN"/>
        </w:rPr>
      </w:pPr>
      <w:r>
        <w:rPr>
          <w:rFonts w:hint="eastAsia" w:ascii="仿宋_GB2312" w:hAnsi="仿宋_GB2312" w:eastAsia="仿宋_GB2312" w:cs="仿宋_GB2312"/>
          <w:color w:val="auto"/>
          <w:w w:val="100"/>
          <w:sz w:val="32"/>
          <w:szCs w:val="32"/>
          <w:u w:val="none" w:color="auto"/>
          <w:lang w:val="en-US" w:eastAsia="zh-CN"/>
        </w:rPr>
        <w:t>经营者：</w:t>
      </w:r>
      <w:r>
        <w:rPr>
          <w:rFonts w:hint="eastAsia" w:ascii="仿宋_GB2312" w:hAnsi="仿宋_GB2312" w:eastAsia="仿宋_GB2312" w:cs="仿宋_GB2312"/>
          <w:bCs/>
          <w:color w:val="auto"/>
          <w:sz w:val="32"/>
          <w:szCs w:val="32"/>
          <w:lang w:eastAsia="zh-CN"/>
        </w:rPr>
        <w:t>赖禹豪</w:t>
      </w:r>
    </w:p>
    <w:p w14:paraId="4BD29130">
      <w:pPr>
        <w:keepNext w:val="0"/>
        <w:keepLines w:val="0"/>
        <w:pageBreakBefore w:val="0"/>
        <w:widowControl w:val="0"/>
        <w:kinsoku/>
        <w:wordWrap/>
        <w:overflowPunct/>
        <w:topLinePunct w:val="0"/>
        <w:autoSpaceDE/>
        <w:autoSpaceDN/>
        <w:bidi w:val="0"/>
        <w:adjustRightInd w:val="0"/>
        <w:snapToGrid/>
        <w:spacing w:line="480" w:lineRule="exact"/>
        <w:ind w:left="0" w:leftChars="0" w:right="233" w:rightChars="111"/>
        <w:textAlignment w:val="baseline"/>
        <w:rPr>
          <w:rFonts w:hint="default" w:ascii="仿宋_GB2312" w:hAnsi="仿宋_GB2312" w:eastAsia="仿宋_GB2312" w:cs="仿宋_GB2312"/>
          <w:bCs/>
          <w:color w:val="auto"/>
          <w:w w:val="100"/>
          <w:sz w:val="32"/>
          <w:szCs w:val="32"/>
          <w:u w:val="none" w:color="auto"/>
          <w:lang w:val="en-US" w:eastAsia="zh-CN"/>
        </w:rPr>
      </w:pPr>
      <w:r>
        <w:rPr>
          <w:rFonts w:hint="eastAsia" w:ascii="仿宋_GB2312" w:hAnsi="仿宋_GB2312" w:eastAsia="仿宋_GB2312" w:cs="仿宋_GB2312"/>
          <w:bCs/>
          <w:color w:val="auto"/>
          <w:w w:val="100"/>
          <w:sz w:val="32"/>
          <w:szCs w:val="32"/>
          <w:u w:val="none" w:color="auto"/>
          <w:lang w:val="en-US" w:eastAsia="zh-CN"/>
        </w:rPr>
        <w:t>身份证件号码：</w:t>
      </w:r>
      <w:r>
        <w:rPr>
          <w:rFonts w:hint="eastAsia" w:ascii="仿宋_GB2312" w:hAnsi="仿宋_GB2312" w:eastAsia="仿宋_GB2312" w:cs="仿宋_GB2312"/>
          <w:color w:val="auto"/>
          <w:w w:val="100"/>
          <w:kern w:val="0"/>
          <w:sz w:val="32"/>
          <w:szCs w:val="32"/>
          <w:u w:val="none" w:color="auto"/>
          <w:lang w:val="en-US" w:eastAsia="zh-CN" w:bidi="ar"/>
        </w:rPr>
        <w:t>*</w:t>
      </w:r>
    </w:p>
    <w:p w14:paraId="5D5CCA79">
      <w:pPr>
        <w:keepNext w:val="0"/>
        <w:keepLines w:val="0"/>
        <w:pageBreakBefore w:val="0"/>
        <w:widowControl w:val="0"/>
        <w:kinsoku/>
        <w:wordWrap/>
        <w:overflowPunct/>
        <w:topLinePunct w:val="0"/>
        <w:autoSpaceDE/>
        <w:autoSpaceDN/>
        <w:bidi w:val="0"/>
        <w:adjustRightInd w:val="0"/>
        <w:snapToGrid/>
        <w:spacing w:line="480" w:lineRule="exact"/>
        <w:ind w:left="0" w:leftChars="0" w:right="233" w:rightChars="111" w:firstLine="640" w:firstLineChars="200"/>
        <w:textAlignment w:val="baseline"/>
        <w:rPr>
          <w:rFonts w:hint="eastAsia" w:ascii="仿宋_GB2312" w:hAnsi="仿宋_GB2312" w:eastAsia="仿宋_GB2312" w:cs="仿宋_GB2312"/>
          <w:color w:val="auto"/>
          <w:w w:val="100"/>
          <w:sz w:val="32"/>
          <w:szCs w:val="32"/>
        </w:rPr>
      </w:pPr>
    </w:p>
    <w:p w14:paraId="5CDAF56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我局于2025年11月5日收到《柳北区人民政府行政复议决定书》（柳北政行复</w:t>
      </w:r>
      <w:r>
        <w:rPr>
          <w:rFonts w:hint="default"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default" w:ascii="仿宋_GB2312" w:hAnsi="仿宋_GB2312" w:eastAsia="仿宋_GB2312" w:cs="仿宋_GB2312"/>
          <w:color w:val="auto"/>
          <w:sz w:val="32"/>
          <w:szCs w:val="32"/>
        </w:rPr>
        <w:t>〕</w:t>
      </w:r>
      <w:r>
        <w:rPr>
          <w:rFonts w:hint="eastAsia" w:ascii="仿宋_GB2312" w:hAnsi="仿宋_GB2312" w:eastAsia="仿宋_GB2312" w:cs="仿宋_GB2312"/>
          <w:bCs/>
          <w:color w:val="auto"/>
          <w:sz w:val="32"/>
          <w:szCs w:val="32"/>
          <w:u w:val="none"/>
          <w:lang w:val="en-US" w:eastAsia="zh-CN"/>
        </w:rPr>
        <w:t>84号），对当事人经营屁屁乐婴儿护臀霜的情况进一步调查。我局于2025年12月17日对当事人予以立案调查。</w:t>
      </w:r>
    </w:p>
    <w:p w14:paraId="3D96967F">
      <w:pPr>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 xml:space="preserve">当事人从广西*有限公司购进屁屁乐婴儿护臀霜进行销售，该化妆品外包装标有“净含量：60克，标准号：QB/T1857，备案人：上海*有限公司，地址：上海青浦区*，产品执行的标准编号：沪G妆网备字2021504023，生产企业：上海*有限公司，地址：上海奉贤区*，生产许可证号：沪妆20170023”，当事人购进上述化妆品时未建立并执行进货查验记录制度，未查验化妆品的备案情况，未如实记录并保存相关凭证。                 </w:t>
      </w:r>
    </w:p>
    <w:p w14:paraId="1EF97C09">
      <w:pPr>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上述事实，主要有以下证据证明：</w:t>
      </w:r>
    </w:p>
    <w:p w14:paraId="08DF9F20">
      <w:pPr>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1、柳州市柳北区胜碑便利店（个体工商户）的《营业执照》复印件1份，经营者赖禹豪身份证复印件1份，证明当事人的主体资格及经营者的身份信息；</w:t>
      </w:r>
    </w:p>
    <w:p w14:paraId="3BA06E8B">
      <w:pPr>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2、询问笔录3份，现场笔录1份，柳州市柳北区市场监督管理局协助调查函2份，扬州市蜀冈-瘦西湖风景名胜区市场监督管理局《关于协助调查情况的复函》及附件1份，南宁市市场监督管理局《关于柳北区市监协查〔2026〕8号办理情况的复函》及附件1份，当事人提供的美团系统销售记录截图、与供货商工作人员的聊天记录截图、广西*商贸有限公司向其提供的从扬州市维扬区*商行进货的订单截图1份，当事人提供的与广西*商贸有限公司的法定代表人的转账记录截图2份，检测报告复印件1份，证明当事人</w:t>
      </w:r>
      <w:bookmarkStart w:id="1" w:name="_GoBack"/>
      <w:r>
        <w:rPr>
          <w:rFonts w:hint="eastAsia" w:ascii="仿宋_GB2312" w:hAnsi="仿宋_GB2312" w:eastAsia="仿宋_GB2312" w:cs="仿宋_GB2312"/>
          <w:bCs/>
          <w:color w:val="auto"/>
          <w:sz w:val="32"/>
          <w:szCs w:val="32"/>
          <w:u w:val="none"/>
          <w:lang w:val="en-US" w:eastAsia="zh-CN"/>
        </w:rPr>
        <w:t>从广西*商贸有限公司购进上述屁屁乐婴儿护臀霜进行销售，及购进上述化妆品时未建立并执行进货查验记录制度，未查验化妆品的备案情况，未如实记录并保存相关凭证的事实。</w:t>
      </w:r>
    </w:p>
    <w:p w14:paraId="1888DFEF">
      <w:pPr>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3、《柳北区人民政府行政复议决定书》（柳北政行复〔2025〕84号）复印件1份，举报人提供的投诉举报信及所附材料1份，举报人与我局执法人员的聊天记录截图1份，举报人提供的视频1份，执法人员对投诉举报人提供的屁屁乐婴儿护臀霜实物瓶身二维码进行扫描后所显示的信息截图1份，投诉举报人向我局邮寄屁屁乐婴儿护臀霜实物快递物流截图及收到的屁屁乐婴儿护臀霜实物图各1份，证明案件来源与我局履行复议决定的情况。</w:t>
      </w:r>
    </w:p>
    <w:p w14:paraId="537A379B">
      <w:pPr>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_GB2312" w:hAnsi="仿宋_GB2312" w:eastAsia="仿宋_GB2312" w:cs="仿宋_GB2312"/>
          <w:bCs/>
          <w:color w:val="auto"/>
          <w:sz w:val="32"/>
          <w:szCs w:val="32"/>
          <w:u w:val="none" w:color="auto"/>
          <w:lang w:val="en-US" w:eastAsia="zh-CN"/>
        </w:rPr>
      </w:pPr>
      <w:r>
        <w:rPr>
          <w:rFonts w:hint="eastAsia" w:ascii="仿宋_GB2312" w:hAnsi="仿宋_GB2312" w:eastAsia="仿宋_GB2312" w:cs="仿宋_GB2312"/>
          <w:bCs/>
          <w:color w:val="auto"/>
          <w:sz w:val="32"/>
          <w:szCs w:val="32"/>
        </w:rPr>
        <w:t>以上证据均由</w:t>
      </w:r>
      <w:r>
        <w:rPr>
          <w:rFonts w:hint="eastAsia" w:ascii="仿宋_GB2312" w:hAnsi="仿宋_GB2312" w:eastAsia="仿宋_GB2312" w:cs="仿宋_GB2312"/>
          <w:bCs/>
          <w:color w:val="auto"/>
          <w:sz w:val="32"/>
          <w:szCs w:val="32"/>
          <w:lang w:val="en-US" w:eastAsia="zh-CN"/>
        </w:rPr>
        <w:t>经营者</w:t>
      </w:r>
      <w:r>
        <w:rPr>
          <w:rFonts w:hint="eastAsia" w:ascii="仿宋_GB2312" w:hAnsi="仿宋_GB2312" w:eastAsia="仿宋_GB2312" w:cs="仿宋_GB2312"/>
          <w:bCs/>
          <w:color w:val="auto"/>
          <w:sz w:val="32"/>
          <w:szCs w:val="32"/>
        </w:rPr>
        <w:t>签名认可。</w:t>
      </w:r>
      <w:r>
        <w:rPr>
          <w:rFonts w:hint="eastAsia" w:ascii="仿宋_GB2312" w:hAnsi="仿宋_GB2312" w:eastAsia="仿宋_GB2312" w:cs="仿宋_GB2312"/>
          <w:bCs/>
          <w:color w:val="auto"/>
          <w:sz w:val="32"/>
          <w:szCs w:val="32"/>
          <w:u w:val="none" w:color="auto"/>
          <w:lang w:val="en-US" w:eastAsia="zh-CN"/>
        </w:rPr>
        <w:t xml:space="preserve"> </w:t>
      </w:r>
    </w:p>
    <w:p w14:paraId="2EC7FE1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bCs/>
          <w:color w:val="auto"/>
          <w:sz w:val="32"/>
          <w:szCs w:val="32"/>
          <w:u w:val="none" w:color="auto"/>
          <w:lang w:val="en-US" w:eastAsia="zh-CN"/>
        </w:rPr>
      </w:pPr>
      <w:r>
        <w:rPr>
          <w:rFonts w:hint="eastAsia" w:ascii="仿宋_GB2312" w:hAnsi="仿宋_GB2312" w:eastAsia="仿宋_GB2312" w:cs="仿宋_GB2312"/>
          <w:bCs/>
          <w:color w:val="auto"/>
          <w:sz w:val="32"/>
          <w:szCs w:val="32"/>
          <w:u w:val="none" w:color="auto"/>
          <w:lang w:val="en-US" w:eastAsia="zh-CN"/>
        </w:rPr>
        <w:t>2026年7月8日我局向当事人送达了《行政处罚告知书》（柳北市监罚告</w:t>
      </w:r>
      <w:r>
        <w:rPr>
          <w:rFonts w:hint="eastAsia" w:ascii="仿宋_GB2312" w:hAnsi="仿宋_GB2312" w:eastAsia="仿宋_GB2312" w:cs="仿宋_GB2312"/>
          <w:bCs/>
          <w:color w:val="auto"/>
          <w:sz w:val="32"/>
          <w:szCs w:val="32"/>
          <w:highlight w:val="none"/>
          <w:u w:val="none" w:color="auto"/>
          <w:lang w:val="en-US" w:eastAsia="zh-CN"/>
        </w:rPr>
        <w:t>〔2026〕63号</w:t>
      </w:r>
      <w:r>
        <w:rPr>
          <w:rFonts w:hint="eastAsia" w:ascii="仿宋_GB2312" w:hAnsi="仿宋_GB2312" w:eastAsia="仿宋_GB2312" w:cs="仿宋_GB2312"/>
          <w:bCs/>
          <w:color w:val="auto"/>
          <w:sz w:val="32"/>
          <w:szCs w:val="32"/>
          <w:u w:val="none" w:color="auto"/>
          <w:lang w:val="en-US" w:eastAsia="zh-CN"/>
        </w:rPr>
        <w:t>），告知当事人我局拟作出行政处罚的事实、理由、依据、处罚内容及享有的权利。当事人在法定期限内向我局提交了《关于请求减轻行政处罚的申请书》（以下简称申请书）及附件，经核查我局不予采纳当事人的陈述申辩意见，理由如下：1、当事人主张“系初次违法且无危害后果：我方从未受过处罚，本次未造成化妆品使用问题，实际已履行进货查验行为，经营市场监督管理局告知后3天内已提交供应商证件及检测报告等相关材料，仅部分信息保存日期不够长；”。初次违法并非独立的法定减轻处罚事由，且我局拟作出的5000元罚款已适用减轻处罚，当事人以此为由再次申请减轻处罚无事实与法律依据；我局接到举报反映当事人销售假冒伪劣化妆品遂依法开展核查，因当事人未建立合规的进货查验记录制度，导致涉案产品真伪无法核实，无法排查化妆品质量安全风险，也无法有效处置消费投诉举报、保障消费者合法权益，已造成明确的质量安全管控漏洞，不属于“无危害后果”的情形，我局不予采纳该陈述、申辩意见。</w:t>
      </w:r>
    </w:p>
    <w:p w14:paraId="389FBA60">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Cs/>
          <w:color w:val="auto"/>
          <w:sz w:val="32"/>
          <w:szCs w:val="32"/>
          <w:u w:val="none" w:color="auto"/>
          <w:lang w:val="en-US" w:eastAsia="zh-CN"/>
        </w:rPr>
      </w:pPr>
      <w:r>
        <w:rPr>
          <w:rFonts w:hint="eastAsia" w:ascii="仿宋_GB2312" w:hAnsi="仿宋_GB2312" w:eastAsia="仿宋_GB2312" w:cs="仿宋_GB2312"/>
          <w:bCs/>
          <w:color w:val="auto"/>
          <w:kern w:val="2"/>
          <w:sz w:val="32"/>
          <w:szCs w:val="32"/>
          <w:u w:color="auto"/>
          <w:lang w:val="en-US" w:eastAsia="zh-CN" w:bidi="ar-SA"/>
        </w:rPr>
        <w:t>2、</w:t>
      </w:r>
      <w:r>
        <w:rPr>
          <w:rFonts w:hint="eastAsia" w:ascii="仿宋_GB2312" w:hAnsi="仿宋_GB2312" w:eastAsia="仿宋_GB2312" w:cs="仿宋_GB2312"/>
          <w:bCs/>
          <w:color w:val="auto"/>
          <w:sz w:val="32"/>
          <w:szCs w:val="32"/>
          <w:u w:val="none" w:color="auto"/>
          <w:lang w:val="en-US" w:eastAsia="zh-CN"/>
        </w:rPr>
        <w:t>当事人主张“已立即整改：完善进货台账，完善供货商证照及检验报告，并承诺长期执行；”。经核查附件提供的进销台账、供货商证照复印件、其他商品供应商证件及商品检测报告存档截图，上述进销台账即为证据材料2中的“</w:t>
      </w:r>
      <w:r>
        <w:rPr>
          <w:rFonts w:hint="eastAsia" w:ascii="仿宋_GB2312" w:hAnsi="仿宋_GB2312" w:eastAsia="仿宋_GB2312" w:cs="仿宋_GB2312"/>
          <w:bCs/>
          <w:color w:val="auto"/>
          <w:sz w:val="32"/>
          <w:szCs w:val="32"/>
          <w:u w:val="none"/>
          <w:lang w:val="en-US" w:eastAsia="zh-CN"/>
        </w:rPr>
        <w:t>当事人提供的美团系统销售记录截图</w:t>
      </w:r>
      <w:r>
        <w:rPr>
          <w:rFonts w:hint="eastAsia" w:ascii="仿宋_GB2312" w:hAnsi="仿宋_GB2312" w:eastAsia="仿宋_GB2312" w:cs="仿宋_GB2312"/>
          <w:bCs/>
          <w:color w:val="auto"/>
          <w:sz w:val="32"/>
          <w:szCs w:val="32"/>
          <w:u w:val="none" w:color="auto"/>
          <w:lang w:val="en-US" w:eastAsia="zh-CN"/>
        </w:rPr>
        <w:t>”，仅能体现涉案化妆品通过美团平台的入库、出库（即售出）时间及数量、下单用户等信息；上述供货商证照复印件为扬州市维扬区*商行，经核查当事人供货商为广西*商贸有限公司，供货商信息并不一致，且当事人没有留存购进涉案化妆品的进货票据，无法说明涉案化妆品的实际进货数量，当事人无法证明其对供货渠道和产品合法性履行了查验义务，我局不予采纳该陈述、申辩意见。</w:t>
      </w:r>
      <w:r>
        <w:rPr>
          <w:rFonts w:hint="eastAsia" w:ascii="仿宋_GB2312" w:hAnsi="仿宋_GB2312" w:eastAsia="仿宋_GB2312" w:cs="仿宋_GB2312"/>
          <w:bCs/>
          <w:color w:val="auto"/>
          <w:kern w:val="2"/>
          <w:sz w:val="32"/>
          <w:szCs w:val="32"/>
          <w:u w:color="auto"/>
          <w:lang w:val="en-US" w:eastAsia="zh-CN" w:bidi="ar-SA"/>
        </w:rPr>
        <w:t>3、</w:t>
      </w:r>
      <w:r>
        <w:rPr>
          <w:rFonts w:hint="eastAsia" w:ascii="仿宋_GB2312" w:hAnsi="仿宋_GB2312" w:eastAsia="仿宋_GB2312" w:cs="仿宋_GB2312"/>
          <w:bCs/>
          <w:color w:val="auto"/>
          <w:sz w:val="32"/>
          <w:szCs w:val="32"/>
          <w:u w:val="none" w:color="auto"/>
          <w:lang w:val="en-US" w:eastAsia="zh-CN"/>
        </w:rPr>
        <w:t>当事人主张“全程积极配合：调查期间如实陈述、主动提供各类相关材料，无隐瞒抗拒；经营实际困难：现市场竞争加剧，门店已进入亏损状态，难以为继，本次处罚金额对门店负担较大。”当事人如实陈述、提供材料属于履行法定配合义务；经营困难不属于减轻行政处罚的法定情形，我局不予采纳该陈述、申辩意见。综上，我局对当事人的陈述、申辩意见</w:t>
      </w:r>
      <w:bookmarkEnd w:id="1"/>
      <w:r>
        <w:rPr>
          <w:rFonts w:hint="eastAsia" w:ascii="仿宋_GB2312" w:hAnsi="仿宋_GB2312" w:eastAsia="仿宋_GB2312" w:cs="仿宋_GB2312"/>
          <w:bCs/>
          <w:color w:val="auto"/>
          <w:sz w:val="32"/>
          <w:szCs w:val="32"/>
          <w:u w:val="none" w:color="auto"/>
          <w:lang w:val="en-US" w:eastAsia="zh-CN"/>
        </w:rPr>
        <w:t>不予采纳。</w:t>
      </w:r>
    </w:p>
    <w:p w14:paraId="792B373E">
      <w:pPr>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_GB2312" w:hAnsi="仿宋_GB2312" w:eastAsia="仿宋_GB2312" w:cs="仿宋_GB2312"/>
          <w:bCs/>
          <w:color w:val="auto"/>
          <w:sz w:val="32"/>
          <w:szCs w:val="32"/>
          <w:lang w:eastAsia="zh-CN"/>
        </w:rPr>
      </w:pPr>
      <w:r>
        <w:rPr>
          <w:rFonts w:hint="eastAsia" w:ascii="仿宋_GB2312" w:hAnsi="仿宋_GB2312" w:eastAsia="仿宋_GB2312" w:cs="仿宋_GB2312"/>
          <w:i w:val="0"/>
          <w:caps w:val="0"/>
          <w:color w:val="auto"/>
          <w:spacing w:val="0"/>
          <w:sz w:val="32"/>
          <w:szCs w:val="32"/>
          <w:shd w:val="clear" w:fill="FFFFFF"/>
          <w:lang w:val="en-US" w:eastAsia="zh-CN"/>
        </w:rPr>
        <w:t>当事人购进上述化妆品时未建立并执行进货查验记录制度，未查验化妆品的备案情况，未如实记录并保存相关凭证的行为</w:t>
      </w:r>
      <w:r>
        <w:rPr>
          <w:rFonts w:hint="eastAsia" w:ascii="仿宋_GB2312" w:hAnsi="仿宋_GB2312" w:eastAsia="仿宋_GB2312" w:cs="仿宋_GB2312"/>
          <w:b w:val="0"/>
          <w:bCs w:val="0"/>
          <w:color w:val="auto"/>
          <w:sz w:val="32"/>
          <w:szCs w:val="32"/>
          <w:u w:val="none"/>
          <w:lang w:val="en-US" w:eastAsia="zh-CN"/>
        </w:rPr>
        <w:t>，违反了</w:t>
      </w:r>
      <w:r>
        <w:rPr>
          <w:rFonts w:hint="eastAsia" w:ascii="仿宋_GB2312" w:hAnsi="仿宋_GB2312" w:eastAsia="仿宋_GB2312" w:cs="仿宋_GB2312"/>
          <w:color w:val="auto"/>
          <w:sz w:val="32"/>
          <w:szCs w:val="32"/>
          <w:lang w:eastAsia="zh-CN"/>
        </w:rPr>
        <w:t>《</w:t>
      </w:r>
      <w:bookmarkStart w:id="0" w:name="OLE_LINK2"/>
      <w:r>
        <w:rPr>
          <w:rFonts w:hint="eastAsia" w:ascii="仿宋_GB2312" w:hAnsi="仿宋_GB2312" w:eastAsia="仿宋_GB2312" w:cs="仿宋_GB2312"/>
          <w:color w:val="auto"/>
          <w:sz w:val="32"/>
          <w:szCs w:val="32"/>
          <w:lang w:eastAsia="zh-CN"/>
        </w:rPr>
        <w:t>化妆品监督管理条例</w:t>
      </w:r>
      <w:bookmarkEnd w:id="0"/>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i w:val="0"/>
          <w:caps w:val="0"/>
          <w:color w:val="auto"/>
          <w:spacing w:val="0"/>
          <w:sz w:val="32"/>
          <w:szCs w:val="32"/>
          <w:shd w:val="clear" w:fill="FFFFFF"/>
          <w:lang w:val="en-US" w:eastAsia="zh-CN"/>
        </w:rPr>
        <w:t>第三十八条第一款的规定，属于</w:t>
      </w:r>
      <w:r>
        <w:rPr>
          <w:rFonts w:hint="eastAsia" w:ascii="仿宋_GB2312" w:hAnsi="仿宋_GB2312" w:eastAsia="仿宋_GB2312" w:cs="仿宋_GB2312"/>
          <w:bCs/>
          <w:color w:val="auto"/>
          <w:sz w:val="32"/>
          <w:szCs w:val="32"/>
          <w:u w:val="none"/>
          <w:lang w:eastAsia="zh-CN"/>
        </w:rPr>
        <w:t>未按规定建立并执行化妆品进货查验记录制度</w:t>
      </w:r>
      <w:r>
        <w:rPr>
          <w:rFonts w:hint="eastAsia" w:ascii="仿宋_GB2312" w:hAnsi="仿宋_GB2312" w:eastAsia="仿宋_GB2312" w:cs="仿宋_GB2312"/>
          <w:bCs/>
          <w:color w:val="auto"/>
          <w:sz w:val="32"/>
          <w:szCs w:val="32"/>
          <w:lang w:eastAsia="zh-CN"/>
        </w:rPr>
        <w:t>的行为。</w:t>
      </w:r>
    </w:p>
    <w:p w14:paraId="75B7691B">
      <w:pPr>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_GB2312" w:hAnsi="仿宋_GB2312" w:eastAsia="仿宋_GB2312" w:cs="仿宋_GB2312"/>
          <w:bCs/>
          <w:color w:val="auto"/>
          <w:sz w:val="32"/>
          <w:szCs w:val="32"/>
          <w:lang w:eastAsia="zh-CN"/>
        </w:rPr>
      </w:pPr>
      <w:r>
        <w:rPr>
          <w:rFonts w:hint="eastAsia" w:ascii="仿宋_GB2312" w:hAnsi="仿宋_GB2312" w:eastAsia="仿宋_GB2312" w:cs="仿宋_GB2312"/>
          <w:bCs/>
          <w:color w:val="auto"/>
          <w:sz w:val="32"/>
          <w:szCs w:val="32"/>
          <w:lang w:val="en-US" w:eastAsia="zh-CN"/>
        </w:rPr>
        <w:t>在案件调查过程中，当事人积极配合我局调查，如实陈述违法事实并主动提供证据材料，具有《药品监督管理行政处罚裁量适用规则》第十一条第一款第二项、《广西壮族自治区化妆品监管行政处罚裁量基准》第十一条第一款和第二款</w:t>
      </w:r>
      <w:r>
        <w:rPr>
          <w:rFonts w:hint="eastAsia" w:ascii="仿宋_GB2312" w:hAnsi="仿宋_GB2312" w:eastAsia="仿宋_GB2312" w:cs="仿宋_GB2312"/>
          <w:color w:val="auto"/>
          <w:sz w:val="32"/>
          <w:szCs w:val="32"/>
        </w:rPr>
        <w:t>规定的依法从轻或者减轻行政处罚的情形</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Cs/>
          <w:color w:val="auto"/>
          <w:sz w:val="32"/>
          <w:szCs w:val="32"/>
          <w:lang w:val="en-US" w:eastAsia="zh-CN"/>
        </w:rPr>
        <w:t>依据《中华人民共和国行政处罚法》第五条、第六条的规定，我局决定对当事人减轻处罚。</w:t>
      </w:r>
    </w:p>
    <w:p w14:paraId="62F1E62E">
      <w:pPr>
        <w:keepNext/>
        <w:keepLines w:val="0"/>
        <w:pageBreakBefore w:val="0"/>
        <w:widowControl w:val="0"/>
        <w:numPr>
          <w:ilvl w:val="0"/>
          <w:numId w:val="0"/>
        </w:numPr>
        <w:kinsoku/>
        <w:wordWrap/>
        <w:overflowPunct/>
        <w:topLinePunct w:val="0"/>
        <w:autoSpaceDE w:val="0"/>
        <w:autoSpaceDN w:val="0"/>
        <w:bidi w:val="0"/>
        <w:snapToGrid/>
        <w:spacing w:line="52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依据《化妆品监督管理条例》第六十二条第一款第二项的规定，我局决定责令当事人改正上述违法行为，给予当事人警告并罚款5000元的行政处罚。</w:t>
      </w:r>
    </w:p>
    <w:p w14:paraId="48B9E4B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none"/>
        </w:rPr>
        <w:t>当事人应当自收到本行政处罚决定书之日起十五日内，凭《广西壮族自治区非税收入电子缴款通知书》到中国建设银行缴纳</w:t>
      </w:r>
      <w:r>
        <w:rPr>
          <w:rFonts w:hint="eastAsia" w:ascii="仿宋_GB2312" w:hAnsi="仿宋_GB2312" w:eastAsia="仿宋_GB2312" w:cs="仿宋_GB2312"/>
          <w:color w:val="auto"/>
          <w:sz w:val="32"/>
          <w:szCs w:val="32"/>
          <w:u w:val="none"/>
          <w:lang w:eastAsia="zh-CN"/>
        </w:rPr>
        <w:t>上述款项</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逾</w:t>
      </w:r>
      <w:r>
        <w:rPr>
          <w:rFonts w:hint="eastAsia" w:ascii="仿宋_GB2312" w:hAnsi="仿宋_GB2312" w:eastAsia="仿宋_GB2312" w:cs="仿宋_GB2312"/>
          <w:color w:val="auto"/>
          <w:sz w:val="32"/>
          <w:szCs w:val="32"/>
          <w:u w:val="none"/>
        </w:rPr>
        <w:t>期不缴纳的，依据《中华人民共和国行政处罚法》</w:t>
      </w:r>
      <w:r>
        <w:rPr>
          <w:rFonts w:hint="eastAsia" w:ascii="仿宋_GB2312" w:hAnsi="仿宋_GB2312" w:eastAsia="仿宋_GB2312" w:cs="仿宋_GB2312"/>
          <w:color w:val="auto"/>
          <w:kern w:val="0"/>
          <w:sz w:val="32"/>
          <w:szCs w:val="32"/>
          <w:u w:val="none"/>
          <w:lang w:val="en-US" w:eastAsia="zh-CN" w:bidi="ar"/>
        </w:rPr>
        <w:t>第七十二条</w:t>
      </w:r>
      <w:r>
        <w:rPr>
          <w:rFonts w:hint="eastAsia" w:ascii="仿宋_GB2312" w:hAnsi="仿宋_GB2312" w:eastAsia="仿宋_GB2312" w:cs="仿宋_GB2312"/>
          <w:color w:val="auto"/>
          <w:sz w:val="32"/>
          <w:szCs w:val="32"/>
          <w:u w:val="none"/>
        </w:rPr>
        <w:t>的规定，我局</w:t>
      </w:r>
      <w:r>
        <w:rPr>
          <w:rFonts w:hint="eastAsia" w:ascii="仿宋_GB2312" w:hAnsi="仿宋_GB2312" w:eastAsia="仿宋_GB2312" w:cs="仿宋_GB2312"/>
          <w:bCs/>
          <w:color w:val="auto"/>
          <w:sz w:val="32"/>
          <w:szCs w:val="32"/>
        </w:rPr>
        <w:t>将每日按罚款数额的百分之三加处罚款，并</w:t>
      </w:r>
      <w:r>
        <w:rPr>
          <w:rFonts w:hint="eastAsia" w:ascii="仿宋_GB2312" w:hAnsi="仿宋_GB2312" w:eastAsia="仿宋_GB2312" w:cs="仿宋_GB2312"/>
          <w:color w:val="auto"/>
          <w:sz w:val="32"/>
          <w:szCs w:val="32"/>
          <w:u w:val="none"/>
        </w:rPr>
        <w:t>依法申请人民法院强制执行。</w:t>
      </w:r>
    </w:p>
    <w:p w14:paraId="6C07D89E">
      <w:pPr>
        <w:pStyle w:val="2"/>
        <w:keepNext w:val="0"/>
        <w:keepLines w:val="0"/>
        <w:pageBreakBefore w:val="0"/>
        <w:widowControl w:val="0"/>
        <w:kinsoku/>
        <w:wordWrap/>
        <w:overflowPunct/>
        <w:topLinePunct w:val="0"/>
        <w:bidi w:val="0"/>
        <w:snapToGrid/>
        <w:spacing w:line="480" w:lineRule="exact"/>
        <w:ind w:left="0" w:leftChars="0" w:firstLine="640" w:firstLineChars="200"/>
        <w:rPr>
          <w:rFonts w:hint="eastAsia" w:ascii="仿宋_GB2312" w:hAnsi="仿宋_GB2312" w:eastAsia="仿宋_GB2312" w:cs="仿宋_GB2312"/>
          <w:bCs/>
          <w:color w:val="auto"/>
          <w:sz w:val="32"/>
          <w:szCs w:val="32"/>
          <w:u w:val="none" w:color="auto"/>
          <w:lang w:val="en-US" w:eastAsia="zh-CN"/>
        </w:rPr>
      </w:pPr>
      <w:r>
        <w:rPr>
          <w:rFonts w:hint="eastAsia" w:ascii="仿宋_GB2312" w:hAnsi="仿宋_GB2312" w:eastAsia="仿宋_GB2312" w:cs="仿宋_GB2312"/>
          <w:bCs/>
          <w:color w:val="auto"/>
          <w:sz w:val="32"/>
          <w:szCs w:val="32"/>
          <w:u w:val="none" w:color="auto"/>
          <w:lang w:val="en-US" w:eastAsia="zh-CN"/>
        </w:rPr>
        <w:t>当事人如不服本行政处罚决定，可以在接到本行政处罚决定书之日起六十日内向柳州市柳北区人民政府申请行政复议；也可以在六个月内依法向柳州市柳南区人民法院提起行政诉讼。申请行政复议或者提起行政诉讼期间，行政处罚不停止执行。</w:t>
      </w:r>
    </w:p>
    <w:p w14:paraId="0650A072">
      <w:pPr>
        <w:pStyle w:val="2"/>
        <w:keepNext w:val="0"/>
        <w:keepLines w:val="0"/>
        <w:pageBreakBefore w:val="0"/>
        <w:widowControl w:val="0"/>
        <w:kinsoku/>
        <w:wordWrap/>
        <w:overflowPunct/>
        <w:topLinePunct w:val="0"/>
        <w:bidi w:val="0"/>
        <w:snapToGrid/>
        <w:spacing w:line="480" w:lineRule="exact"/>
        <w:ind w:left="0" w:leftChars="0" w:firstLine="640" w:firstLineChars="200"/>
        <w:rPr>
          <w:rFonts w:hint="eastAsia" w:ascii="仿宋_GB2312" w:hAnsi="仿宋_GB2312" w:eastAsia="仿宋_GB2312" w:cs="仿宋_GB2312"/>
          <w:bCs/>
          <w:color w:val="auto"/>
          <w:sz w:val="32"/>
          <w:szCs w:val="32"/>
          <w:u w:val="none" w:color="auto"/>
          <w:lang w:val="en-US" w:eastAsia="zh-CN"/>
        </w:rPr>
      </w:pPr>
    </w:p>
    <w:p w14:paraId="7E84C8C9">
      <w:pPr>
        <w:pStyle w:val="2"/>
        <w:keepNext w:val="0"/>
        <w:keepLines w:val="0"/>
        <w:pageBreakBefore w:val="0"/>
        <w:widowControl w:val="0"/>
        <w:kinsoku/>
        <w:wordWrap/>
        <w:overflowPunct/>
        <w:topLinePunct w:val="0"/>
        <w:bidi w:val="0"/>
        <w:snapToGrid/>
        <w:spacing w:line="480" w:lineRule="exact"/>
        <w:ind w:left="0" w:leftChars="0" w:firstLine="640" w:firstLineChars="200"/>
        <w:rPr>
          <w:rFonts w:hint="eastAsia" w:ascii="仿宋_GB2312" w:hAnsi="仿宋_GB2312" w:eastAsia="仿宋_GB2312" w:cs="仿宋_GB2312"/>
          <w:bCs/>
          <w:color w:val="auto"/>
          <w:sz w:val="32"/>
          <w:szCs w:val="32"/>
          <w:u w:val="none" w:color="auto"/>
          <w:lang w:val="en-US" w:eastAsia="zh-CN"/>
        </w:rPr>
      </w:pPr>
    </w:p>
    <w:p w14:paraId="6654CCB0">
      <w:pPr>
        <w:keepNext w:val="0"/>
        <w:keepLines w:val="0"/>
        <w:pageBreakBefore w:val="0"/>
        <w:widowControl w:val="0"/>
        <w:kinsoku/>
        <w:wordWrap/>
        <w:overflowPunct/>
        <w:topLinePunct w:val="0"/>
        <w:autoSpaceDE/>
        <w:autoSpaceDN/>
        <w:bidi w:val="0"/>
        <w:snapToGrid/>
        <w:spacing w:line="480" w:lineRule="exact"/>
        <w:ind w:firstLine="4480" w:firstLineChars="1400"/>
        <w:jc w:val="left"/>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柳州市柳北区市场监督管理局</w:t>
      </w:r>
    </w:p>
    <w:p w14:paraId="0EC393B2">
      <w:pPr>
        <w:keepNext w:val="0"/>
        <w:keepLines w:val="0"/>
        <w:pageBreakBefore w:val="0"/>
        <w:widowControl w:val="0"/>
        <w:kinsoku/>
        <w:wordWrap/>
        <w:overflowPunct/>
        <w:topLinePunct w:val="0"/>
        <w:autoSpaceDE/>
        <w:autoSpaceDN/>
        <w:bidi w:val="0"/>
        <w:snapToGrid/>
        <w:spacing w:line="480" w:lineRule="exact"/>
        <w:ind w:firstLine="640" w:firstLineChars="200"/>
        <w:jc w:val="left"/>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 xml:space="preserve">                            </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lang w:eastAsia="zh-CN"/>
        </w:rPr>
        <w:t>202</w:t>
      </w:r>
      <w:r>
        <w:rPr>
          <w:rFonts w:hint="eastAsia" w:ascii="仿宋_GB2312" w:hAnsi="仿宋_GB2312" w:eastAsia="仿宋_GB2312" w:cs="仿宋_GB2312"/>
          <w:color w:val="auto"/>
          <w:sz w:val="32"/>
          <w:szCs w:val="32"/>
          <w:u w:val="none"/>
          <w:lang w:val="en-US" w:eastAsia="zh-CN"/>
        </w:rPr>
        <w:t>6</w:t>
      </w:r>
      <w:r>
        <w:rPr>
          <w:rFonts w:hint="eastAsia" w:ascii="仿宋_GB2312" w:hAnsi="仿宋_GB2312" w:eastAsia="仿宋_GB2312" w:cs="仿宋_GB2312"/>
          <w:color w:val="auto"/>
          <w:sz w:val="32"/>
          <w:szCs w:val="32"/>
          <w:u w:val="none"/>
          <w:lang w:eastAsia="zh-CN"/>
        </w:rPr>
        <w:t>年</w:t>
      </w:r>
      <w:r>
        <w:rPr>
          <w:rFonts w:hint="eastAsia" w:ascii="仿宋_GB2312" w:hAnsi="仿宋_GB2312" w:eastAsia="仿宋_GB2312" w:cs="仿宋_GB2312"/>
          <w:color w:val="auto"/>
          <w:sz w:val="32"/>
          <w:szCs w:val="32"/>
          <w:u w:val="none"/>
          <w:lang w:val="en-US" w:eastAsia="zh-CN"/>
        </w:rPr>
        <w:t>7</w:t>
      </w:r>
      <w:r>
        <w:rPr>
          <w:rFonts w:hint="eastAsia" w:ascii="仿宋_GB2312" w:hAnsi="仿宋_GB2312" w:eastAsia="仿宋_GB2312" w:cs="仿宋_GB2312"/>
          <w:color w:val="auto"/>
          <w:sz w:val="32"/>
          <w:szCs w:val="32"/>
          <w:u w:val="none"/>
          <w:lang w:eastAsia="zh-CN"/>
        </w:rPr>
        <w:t>月</w:t>
      </w:r>
      <w:r>
        <w:rPr>
          <w:rFonts w:hint="eastAsia" w:ascii="仿宋_GB2312" w:hAnsi="仿宋_GB2312" w:eastAsia="仿宋_GB2312" w:cs="仿宋_GB2312"/>
          <w:color w:val="auto"/>
          <w:sz w:val="32"/>
          <w:szCs w:val="32"/>
          <w:u w:val="none"/>
          <w:lang w:val="en-US" w:eastAsia="zh-CN"/>
        </w:rPr>
        <w:t>22</w:t>
      </w:r>
      <w:r>
        <w:rPr>
          <w:rFonts w:hint="eastAsia" w:ascii="仿宋_GB2312" w:hAnsi="仿宋_GB2312" w:eastAsia="仿宋_GB2312" w:cs="仿宋_GB2312"/>
          <w:color w:val="auto"/>
          <w:sz w:val="32"/>
          <w:szCs w:val="32"/>
          <w:u w:val="none"/>
          <w:lang w:eastAsia="zh-CN"/>
        </w:rPr>
        <w:t>日</w:t>
      </w:r>
    </w:p>
    <w:p w14:paraId="760E22E8">
      <w:pPr>
        <w:keepNext w:val="0"/>
        <w:keepLines w:val="0"/>
        <w:pageBreakBefore w:val="0"/>
        <w:widowControl w:val="0"/>
        <w:kinsoku/>
        <w:wordWrap/>
        <w:overflowPunct/>
        <w:topLinePunct w:val="0"/>
        <w:autoSpaceDE/>
        <w:autoSpaceDN/>
        <w:bidi w:val="0"/>
        <w:snapToGrid/>
        <w:spacing w:line="440" w:lineRule="exact"/>
        <w:ind w:firstLine="640" w:firstLineChars="200"/>
        <w:jc w:val="left"/>
        <w:rPr>
          <w:rFonts w:hint="eastAsia" w:ascii="仿宋_GB2312" w:hAnsi="仿宋_GB2312" w:eastAsia="仿宋_GB2312" w:cs="仿宋_GB2312"/>
          <w:color w:val="auto"/>
          <w:sz w:val="32"/>
          <w:szCs w:val="32"/>
          <w:u w:val="none"/>
          <w:lang w:eastAsia="zh-CN"/>
        </w:rPr>
      </w:pPr>
    </w:p>
    <w:p w14:paraId="150CF85A">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32"/>
          <w:szCs w:val="32"/>
        </w:rPr>
      </w:pPr>
    </w:p>
    <w:p w14:paraId="707FA1E7">
      <w:pPr>
        <w:pStyle w:val="2"/>
        <w:rPr>
          <w:rFonts w:hint="eastAsia" w:ascii="仿宋_GB2312" w:hAnsi="仿宋_GB2312" w:eastAsia="仿宋_GB2312" w:cs="仿宋_GB2312"/>
          <w:color w:val="auto"/>
          <w:sz w:val="32"/>
          <w:szCs w:val="32"/>
        </w:rPr>
      </w:pPr>
    </w:p>
    <w:p w14:paraId="180BBA7D">
      <w:pPr>
        <w:pStyle w:val="2"/>
        <w:rPr>
          <w:rFonts w:hint="eastAsia" w:ascii="仿宋_GB2312" w:hAnsi="仿宋_GB2312" w:eastAsia="仿宋_GB2312" w:cs="仿宋_GB2312"/>
          <w:color w:val="auto"/>
          <w:sz w:val="32"/>
          <w:szCs w:val="32"/>
        </w:rPr>
      </w:pPr>
    </w:p>
    <w:p w14:paraId="02CC205E">
      <w:pPr>
        <w:pStyle w:val="2"/>
        <w:rPr>
          <w:rFonts w:hint="eastAsia" w:ascii="仿宋_GB2312" w:hAnsi="仿宋_GB2312" w:eastAsia="仿宋_GB2312" w:cs="仿宋_GB2312"/>
          <w:color w:val="auto"/>
          <w:sz w:val="32"/>
          <w:szCs w:val="32"/>
        </w:rPr>
      </w:pPr>
    </w:p>
    <w:p w14:paraId="6777536B">
      <w:pPr>
        <w:keepNext w:val="0"/>
        <w:keepLines w:val="0"/>
        <w:pageBreakBefore w:val="0"/>
        <w:widowControl w:val="0"/>
        <w:kinsoku/>
        <w:wordWrap/>
        <w:overflowPunct/>
        <w:topLinePunct w:val="0"/>
        <w:autoSpaceDE/>
        <w:autoSpaceDN/>
        <w:bidi w:val="0"/>
        <w:adjustRightInd/>
        <w:snapToGrid/>
        <w:spacing w:line="480" w:lineRule="exact"/>
        <w:ind w:left="0" w:leftChars="0" w:right="-105" w:rightChars="-50"/>
        <w:jc w:val="both"/>
        <w:textAlignment w:val="auto"/>
        <w:outlineLvl w:val="9"/>
        <w:rPr>
          <w:rFonts w:hint="eastAsia" w:ascii="仿宋_GB2312" w:hAnsi="仿宋_GB2312" w:eastAsia="仿宋_GB2312" w:cs="仿宋_GB2312"/>
          <w:color w:val="auto"/>
          <w:sz w:val="32"/>
          <w:szCs w:val="32"/>
          <w:lang w:eastAsia="zh-CN"/>
        </w:rPr>
      </w:pPr>
      <w:r>
        <w:rPr>
          <w:rFonts w:hint="eastAsia" w:ascii="黑体" w:hAnsi="黑体" w:eastAsia="黑体" w:cs="黑体"/>
          <w:b w:val="0"/>
          <w:bCs w:val="0"/>
          <w:color w:val="auto"/>
          <w:w w:val="98"/>
          <w:sz w:val="32"/>
          <w:szCs w:val="32"/>
          <w:lang w:eastAsia="zh-CN"/>
        </w:rPr>
        <w:t>（市场监督管理部门将依法向社会公开行政处罚决定信息）</w:t>
      </w:r>
    </w:p>
    <w:p w14:paraId="7D38D37F">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仿宋_GB2312" w:hAnsi="仿宋_GB2312" w:eastAsia="仿宋_GB2312" w:cs="仿宋_GB2312"/>
          <w:b w:val="0"/>
          <w:bCs w:val="0"/>
          <w:color w:val="auto"/>
          <w:sz w:val="32"/>
          <w:szCs w:val="32"/>
        </w:rPr>
      </w:pPr>
      <w:r>
        <w:rPr>
          <w:color w:val="auto"/>
          <w:sz w:val="32"/>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75565</wp:posOffset>
                </wp:positionV>
                <wp:extent cx="5505450"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50545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1pt;margin-top:5.95pt;height:0.05pt;width:433.5pt;z-index:251660288;mso-width-relative:page;mso-height-relative:page;" filled="f" stroked="t" coordsize="21600,21600" o:gfxdata="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wDyi0wAAAAcBAAAPAAAAAAAAAAEAIAAAACIAAABkcnMvZG93bnJldi54bWxQ&#10;SwECFAAUAAAACACHTuJAsSI0PPwBAAD0AwAADgAAAAAAAAABACAAAAAiAQAAZHJzL2Uyb0RvYy54&#10;bWxQSwUGAAAAAAYABgBZAQAAkAUAAAAA&#10;">
                <v:fill on="f" focussize="0,0"/>
                <v:stroke color="#000000" joinstyle="round"/>
                <v:imagedata o:title=""/>
                <o:lock v:ext="edit" aspectratio="f"/>
              </v:line>
            </w:pict>
          </mc:Fallback>
        </mc:AlternateContent>
      </w:r>
      <w:r>
        <w:rPr>
          <w:rFonts w:hint="eastAsia" w:ascii="仿宋_GB2312" w:hAnsi="仿宋_GB2312" w:eastAsia="仿宋_GB2312" w:cs="仿宋_GB2312"/>
          <w:color w:val="auto"/>
          <w:sz w:val="32"/>
          <w:szCs w:val="32"/>
          <w:lang w:eastAsia="zh-CN"/>
        </w:rPr>
        <w:t>本文书一式三份，一份送达，一份归档</w:t>
      </w:r>
      <w:r>
        <w:rPr>
          <w:rFonts w:hint="eastAsia" w:ascii="仿宋_GB2312" w:hAnsi="仿宋_GB2312" w:eastAsia="仿宋_GB2312" w:cs="仿宋_GB2312"/>
          <w:color w:val="auto"/>
          <w:sz w:val="32"/>
          <w:szCs w:val="32"/>
        </w:rPr>
        <w:t>，一份</w:t>
      </w:r>
      <w:r>
        <w:rPr>
          <w:rFonts w:hint="eastAsia" w:ascii="仿宋_GB2312" w:hAnsi="仿宋_GB2312" w:eastAsia="仿宋_GB2312" w:cs="仿宋_GB2312"/>
          <w:color w:val="auto"/>
          <w:sz w:val="32"/>
          <w:szCs w:val="32"/>
          <w:lang w:eastAsia="zh-CN"/>
        </w:rPr>
        <w:t>办案机构</w:t>
      </w:r>
      <w:r>
        <w:rPr>
          <w:rFonts w:hint="eastAsia" w:ascii="仿宋_GB2312" w:hAnsi="仿宋_GB2312" w:eastAsia="仿宋_GB2312" w:cs="仿宋_GB2312"/>
          <w:color w:val="auto"/>
          <w:sz w:val="32"/>
          <w:szCs w:val="32"/>
        </w:rPr>
        <w:t>留存</w:t>
      </w:r>
      <w:r>
        <w:rPr>
          <w:rFonts w:hint="eastAsia" w:ascii="仿宋_GB2312" w:hAnsi="仿宋_GB2312" w:eastAsia="仿宋_GB2312" w:cs="仿宋_GB2312"/>
          <w:color w:val="auto"/>
          <w:sz w:val="32"/>
          <w:szCs w:val="32"/>
          <w:lang w:eastAsia="zh-CN"/>
        </w:rPr>
        <w:t>。</w:t>
      </w:r>
    </w:p>
    <w:sectPr>
      <w:headerReference r:id="rId3" w:type="default"/>
      <w:footerReference r:id="rId4" w:type="default"/>
      <w:pgSz w:w="11906" w:h="16838"/>
      <w:pgMar w:top="1247" w:right="1417" w:bottom="1304" w:left="1417" w:header="851" w:footer="8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2ED40">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263DEA">
                          <w:pPr>
                            <w:pStyle w:val="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w:t>
                          </w:r>
                          <w:r>
                            <w:fldChar w:fldCharType="end"/>
                          </w:r>
                          <w:r>
                            <w:rPr>
                              <w:rFonts w:hint="eastAsia"/>
                            </w:rPr>
                            <w:t xml:space="preserve"> 页</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6E263DEA">
                    <w:pPr>
                      <w:pStyle w:val="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FBC88">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5ZmI1NmM0NTFmZTU5ZDUyNjZiMTM4MjRlMDJmYTcifQ=="/>
    <w:docVar w:name="KSO_WPS_MARK_KEY" w:val="841dd4c2-fca9-4166-9264-b220990a38a4"/>
  </w:docVars>
  <w:rsids>
    <w:rsidRoot w:val="148273E2"/>
    <w:rsid w:val="000065F5"/>
    <w:rsid w:val="0004512F"/>
    <w:rsid w:val="00083C83"/>
    <w:rsid w:val="000B341C"/>
    <w:rsid w:val="001012C9"/>
    <w:rsid w:val="00142F2C"/>
    <w:rsid w:val="001C0503"/>
    <w:rsid w:val="00211B0C"/>
    <w:rsid w:val="00255EEE"/>
    <w:rsid w:val="002C2FAA"/>
    <w:rsid w:val="00357DAF"/>
    <w:rsid w:val="0036662C"/>
    <w:rsid w:val="00463B38"/>
    <w:rsid w:val="004B6721"/>
    <w:rsid w:val="00574F12"/>
    <w:rsid w:val="005E199B"/>
    <w:rsid w:val="005E309F"/>
    <w:rsid w:val="005F5BA5"/>
    <w:rsid w:val="006A6CB1"/>
    <w:rsid w:val="006C0007"/>
    <w:rsid w:val="006E7533"/>
    <w:rsid w:val="00704B12"/>
    <w:rsid w:val="0072741A"/>
    <w:rsid w:val="0074190D"/>
    <w:rsid w:val="00771A9E"/>
    <w:rsid w:val="0079623E"/>
    <w:rsid w:val="00817650"/>
    <w:rsid w:val="008739FF"/>
    <w:rsid w:val="008A0974"/>
    <w:rsid w:val="00955ECE"/>
    <w:rsid w:val="009C3AF3"/>
    <w:rsid w:val="00A62EC1"/>
    <w:rsid w:val="00B91F48"/>
    <w:rsid w:val="00BC4BAE"/>
    <w:rsid w:val="00BE07B0"/>
    <w:rsid w:val="00BE5339"/>
    <w:rsid w:val="00D05A34"/>
    <w:rsid w:val="00D82DEA"/>
    <w:rsid w:val="00D866B1"/>
    <w:rsid w:val="00DB475D"/>
    <w:rsid w:val="00DD449C"/>
    <w:rsid w:val="00DD743A"/>
    <w:rsid w:val="00E3129E"/>
    <w:rsid w:val="00EA4461"/>
    <w:rsid w:val="00F26908"/>
    <w:rsid w:val="00FC6549"/>
    <w:rsid w:val="00FD11C5"/>
    <w:rsid w:val="00FE2746"/>
    <w:rsid w:val="017862EE"/>
    <w:rsid w:val="01F12741"/>
    <w:rsid w:val="0328798D"/>
    <w:rsid w:val="04392B35"/>
    <w:rsid w:val="04751BF1"/>
    <w:rsid w:val="062A0A13"/>
    <w:rsid w:val="06F651DB"/>
    <w:rsid w:val="06FA6137"/>
    <w:rsid w:val="07C95455"/>
    <w:rsid w:val="08E602F7"/>
    <w:rsid w:val="09611CF3"/>
    <w:rsid w:val="0AE83390"/>
    <w:rsid w:val="0CB213C1"/>
    <w:rsid w:val="0CB74E19"/>
    <w:rsid w:val="0D6177ED"/>
    <w:rsid w:val="0DA71FDE"/>
    <w:rsid w:val="0DBF10BD"/>
    <w:rsid w:val="0E803A75"/>
    <w:rsid w:val="0F7605E9"/>
    <w:rsid w:val="113B479A"/>
    <w:rsid w:val="117B63A4"/>
    <w:rsid w:val="11BD5D75"/>
    <w:rsid w:val="12EA441C"/>
    <w:rsid w:val="134617C9"/>
    <w:rsid w:val="13F30D47"/>
    <w:rsid w:val="14277F1E"/>
    <w:rsid w:val="1473140B"/>
    <w:rsid w:val="148273E2"/>
    <w:rsid w:val="1595472F"/>
    <w:rsid w:val="15AA17EA"/>
    <w:rsid w:val="169C3433"/>
    <w:rsid w:val="17E1120B"/>
    <w:rsid w:val="184F057B"/>
    <w:rsid w:val="186B5DC5"/>
    <w:rsid w:val="18EF05CB"/>
    <w:rsid w:val="1A745652"/>
    <w:rsid w:val="1AA55913"/>
    <w:rsid w:val="1AAB7A25"/>
    <w:rsid w:val="1B8A02C6"/>
    <w:rsid w:val="1C0F2E75"/>
    <w:rsid w:val="1C191BC6"/>
    <w:rsid w:val="1C220723"/>
    <w:rsid w:val="1CB15DE2"/>
    <w:rsid w:val="1DCD2E8D"/>
    <w:rsid w:val="1E376B1E"/>
    <w:rsid w:val="1EB96323"/>
    <w:rsid w:val="1F352136"/>
    <w:rsid w:val="1F3603BC"/>
    <w:rsid w:val="1F3E2D68"/>
    <w:rsid w:val="1F4D1EE3"/>
    <w:rsid w:val="1F9E445E"/>
    <w:rsid w:val="1FED1911"/>
    <w:rsid w:val="20125CE0"/>
    <w:rsid w:val="20154E0E"/>
    <w:rsid w:val="208244E5"/>
    <w:rsid w:val="209122D7"/>
    <w:rsid w:val="2103322C"/>
    <w:rsid w:val="23383DAC"/>
    <w:rsid w:val="23E34743"/>
    <w:rsid w:val="24E55852"/>
    <w:rsid w:val="255D34FA"/>
    <w:rsid w:val="25912C02"/>
    <w:rsid w:val="26603C6E"/>
    <w:rsid w:val="26A36964"/>
    <w:rsid w:val="26B87CE7"/>
    <w:rsid w:val="27D00EE0"/>
    <w:rsid w:val="2941559E"/>
    <w:rsid w:val="29581DDE"/>
    <w:rsid w:val="297B6BA3"/>
    <w:rsid w:val="299E6AAB"/>
    <w:rsid w:val="29A4154C"/>
    <w:rsid w:val="2A7A5040"/>
    <w:rsid w:val="2AFD6B9E"/>
    <w:rsid w:val="2B155476"/>
    <w:rsid w:val="2B157B4F"/>
    <w:rsid w:val="2B424F07"/>
    <w:rsid w:val="2C13787F"/>
    <w:rsid w:val="2C421DD7"/>
    <w:rsid w:val="2C7F6960"/>
    <w:rsid w:val="2CA70D16"/>
    <w:rsid w:val="2CF1764D"/>
    <w:rsid w:val="2D002F4F"/>
    <w:rsid w:val="2D033500"/>
    <w:rsid w:val="2D1C6BF7"/>
    <w:rsid w:val="2E6F5DB2"/>
    <w:rsid w:val="30BD5513"/>
    <w:rsid w:val="30E338A2"/>
    <w:rsid w:val="31091780"/>
    <w:rsid w:val="31DC529A"/>
    <w:rsid w:val="323E5D53"/>
    <w:rsid w:val="345751A6"/>
    <w:rsid w:val="35FC3C1B"/>
    <w:rsid w:val="371F7D71"/>
    <w:rsid w:val="37EF7C5B"/>
    <w:rsid w:val="390D0746"/>
    <w:rsid w:val="39794D00"/>
    <w:rsid w:val="3A782F8A"/>
    <w:rsid w:val="3B7364AD"/>
    <w:rsid w:val="3C297ADF"/>
    <w:rsid w:val="3DE333C0"/>
    <w:rsid w:val="3DE843F8"/>
    <w:rsid w:val="3E376AA4"/>
    <w:rsid w:val="3E5354C4"/>
    <w:rsid w:val="3EA04F87"/>
    <w:rsid w:val="3EBB37DF"/>
    <w:rsid w:val="3EDF2516"/>
    <w:rsid w:val="3F2A4B8B"/>
    <w:rsid w:val="403D16C2"/>
    <w:rsid w:val="41711ECE"/>
    <w:rsid w:val="41DF1A8D"/>
    <w:rsid w:val="4257288A"/>
    <w:rsid w:val="433340CF"/>
    <w:rsid w:val="43FA7BFE"/>
    <w:rsid w:val="44C07632"/>
    <w:rsid w:val="451218A7"/>
    <w:rsid w:val="461F1F60"/>
    <w:rsid w:val="46943C0F"/>
    <w:rsid w:val="47EC3EAF"/>
    <w:rsid w:val="4A207916"/>
    <w:rsid w:val="4A4D113D"/>
    <w:rsid w:val="4A5A2CDA"/>
    <w:rsid w:val="4C2B4DFE"/>
    <w:rsid w:val="4C3E6663"/>
    <w:rsid w:val="4DA93FB0"/>
    <w:rsid w:val="4DD5222C"/>
    <w:rsid w:val="4E6B3369"/>
    <w:rsid w:val="4EB80EAB"/>
    <w:rsid w:val="4F3E18EA"/>
    <w:rsid w:val="4F7324E1"/>
    <w:rsid w:val="4FD74F00"/>
    <w:rsid w:val="4FEB2D6E"/>
    <w:rsid w:val="503468E2"/>
    <w:rsid w:val="50D92DFE"/>
    <w:rsid w:val="50FF4B3D"/>
    <w:rsid w:val="5151276C"/>
    <w:rsid w:val="51A716B6"/>
    <w:rsid w:val="51E62234"/>
    <w:rsid w:val="53E923EE"/>
    <w:rsid w:val="53FC7230"/>
    <w:rsid w:val="544E6F61"/>
    <w:rsid w:val="5473232C"/>
    <w:rsid w:val="549E3B5B"/>
    <w:rsid w:val="55763B22"/>
    <w:rsid w:val="55BA5430"/>
    <w:rsid w:val="56D63107"/>
    <w:rsid w:val="574B68BA"/>
    <w:rsid w:val="57B61447"/>
    <w:rsid w:val="582740A9"/>
    <w:rsid w:val="592077C9"/>
    <w:rsid w:val="597A3332"/>
    <w:rsid w:val="599F5B19"/>
    <w:rsid w:val="5A1C4013"/>
    <w:rsid w:val="5A7C7F7A"/>
    <w:rsid w:val="5AFF3EF1"/>
    <w:rsid w:val="5B343756"/>
    <w:rsid w:val="5C1B5317"/>
    <w:rsid w:val="5CBD218A"/>
    <w:rsid w:val="5CC36333"/>
    <w:rsid w:val="5D275EBF"/>
    <w:rsid w:val="5EC865B0"/>
    <w:rsid w:val="5F9F2A6C"/>
    <w:rsid w:val="61544F71"/>
    <w:rsid w:val="61B40B70"/>
    <w:rsid w:val="61E70572"/>
    <w:rsid w:val="637F3FE6"/>
    <w:rsid w:val="63E72995"/>
    <w:rsid w:val="657D4ABD"/>
    <w:rsid w:val="659356E0"/>
    <w:rsid w:val="67261A9A"/>
    <w:rsid w:val="67ED767A"/>
    <w:rsid w:val="688A1A9D"/>
    <w:rsid w:val="68FF6B48"/>
    <w:rsid w:val="691D477F"/>
    <w:rsid w:val="699E35BB"/>
    <w:rsid w:val="6A014483"/>
    <w:rsid w:val="6A19339F"/>
    <w:rsid w:val="6A22066F"/>
    <w:rsid w:val="6A3A7FB1"/>
    <w:rsid w:val="6C0F4EEF"/>
    <w:rsid w:val="6C5808AF"/>
    <w:rsid w:val="6CE3459B"/>
    <w:rsid w:val="6EEE43BE"/>
    <w:rsid w:val="6F7B3B73"/>
    <w:rsid w:val="6F855001"/>
    <w:rsid w:val="6F9C351D"/>
    <w:rsid w:val="6FB73C30"/>
    <w:rsid w:val="6FCB74A9"/>
    <w:rsid w:val="70966D10"/>
    <w:rsid w:val="70A73F1B"/>
    <w:rsid w:val="70A82C64"/>
    <w:rsid w:val="71217411"/>
    <w:rsid w:val="7135211F"/>
    <w:rsid w:val="71365A01"/>
    <w:rsid w:val="71A06C04"/>
    <w:rsid w:val="71C47AD6"/>
    <w:rsid w:val="71F667BD"/>
    <w:rsid w:val="72175D9C"/>
    <w:rsid w:val="721F6DC4"/>
    <w:rsid w:val="72A509A5"/>
    <w:rsid w:val="72D355FA"/>
    <w:rsid w:val="73127625"/>
    <w:rsid w:val="73AA52D4"/>
    <w:rsid w:val="73DE1526"/>
    <w:rsid w:val="74BE07C3"/>
    <w:rsid w:val="74CD4654"/>
    <w:rsid w:val="77EB7D5B"/>
    <w:rsid w:val="780B0124"/>
    <w:rsid w:val="78414B3A"/>
    <w:rsid w:val="785D036F"/>
    <w:rsid w:val="787616BF"/>
    <w:rsid w:val="790C18B2"/>
    <w:rsid w:val="79714248"/>
    <w:rsid w:val="798A2050"/>
    <w:rsid w:val="79965BD7"/>
    <w:rsid w:val="7A420DE6"/>
    <w:rsid w:val="7A69737E"/>
    <w:rsid w:val="7A9F6060"/>
    <w:rsid w:val="7AB81C3A"/>
    <w:rsid w:val="7B3A48B6"/>
    <w:rsid w:val="7C0C2E6D"/>
    <w:rsid w:val="7C8232CF"/>
    <w:rsid w:val="7CCB6FCD"/>
    <w:rsid w:val="7D5C1627"/>
    <w:rsid w:val="7D85227D"/>
    <w:rsid w:val="7E635C01"/>
    <w:rsid w:val="7E662974"/>
    <w:rsid w:val="7EAF4003"/>
    <w:rsid w:val="7F9B2857"/>
    <w:rsid w:val="7FFD0FA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3">
    <w:name w:val="footer"/>
    <w:basedOn w:val="1"/>
    <w:link w:val="29"/>
    <w:qFormat/>
    <w:uiPriority w:val="0"/>
    <w:pPr>
      <w:tabs>
        <w:tab w:val="center" w:pos="4153"/>
        <w:tab w:val="right" w:pos="8306"/>
      </w:tabs>
      <w:snapToGrid w:val="0"/>
      <w:jc w:val="left"/>
    </w:pPr>
    <w:rPr>
      <w:sz w:val="18"/>
      <w:szCs w:val="18"/>
    </w:rPr>
  </w:style>
  <w:style w:type="paragraph" w:styleId="4">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style>
  <w:style w:type="character" w:styleId="9">
    <w:name w:val="FollowedHyperlink"/>
    <w:basedOn w:val="7"/>
    <w:qFormat/>
    <w:uiPriority w:val="0"/>
    <w:rPr>
      <w:color w:val="000000"/>
      <w:u w:val="none"/>
    </w:rPr>
  </w:style>
  <w:style w:type="character" w:styleId="10">
    <w:name w:val="Emphasis"/>
    <w:basedOn w:val="7"/>
    <w:qFormat/>
    <w:uiPriority w:val="0"/>
  </w:style>
  <w:style w:type="character" w:styleId="11">
    <w:name w:val="HTML Definition"/>
    <w:basedOn w:val="7"/>
    <w:qFormat/>
    <w:uiPriority w:val="0"/>
  </w:style>
  <w:style w:type="character" w:styleId="12">
    <w:name w:val="HTML Variable"/>
    <w:basedOn w:val="7"/>
    <w:qFormat/>
    <w:uiPriority w:val="0"/>
  </w:style>
  <w:style w:type="character" w:styleId="13">
    <w:name w:val="Hyperlink"/>
    <w:basedOn w:val="7"/>
    <w:qFormat/>
    <w:uiPriority w:val="0"/>
    <w:rPr>
      <w:color w:val="000000"/>
      <w:u w:val="none"/>
    </w:rPr>
  </w:style>
  <w:style w:type="character" w:styleId="14">
    <w:name w:val="HTML Code"/>
    <w:basedOn w:val="7"/>
    <w:qFormat/>
    <w:uiPriority w:val="0"/>
    <w:rPr>
      <w:rFonts w:ascii="Courier New" w:hAnsi="Courier New"/>
      <w:sz w:val="20"/>
    </w:rPr>
  </w:style>
  <w:style w:type="character" w:styleId="15">
    <w:name w:val="HTML Cite"/>
    <w:basedOn w:val="7"/>
    <w:qFormat/>
    <w:uiPriority w:val="0"/>
  </w:style>
  <w:style w:type="character" w:customStyle="1" w:styleId="16">
    <w:name w:val="first-child"/>
    <w:basedOn w:val="7"/>
    <w:qFormat/>
    <w:uiPriority w:val="0"/>
  </w:style>
  <w:style w:type="character" w:customStyle="1" w:styleId="17">
    <w:name w:val="layui-layer-tabnow"/>
    <w:basedOn w:val="7"/>
    <w:qFormat/>
    <w:uiPriority w:val="0"/>
    <w:rPr>
      <w:bdr w:val="single" w:color="CCCCCC" w:sz="6" w:space="0"/>
      <w:shd w:val="clear" w:color="auto" w:fill="FFFFFF"/>
    </w:rPr>
  </w:style>
  <w:style w:type="character" w:customStyle="1" w:styleId="18">
    <w:name w:val="x-tab-strip-text"/>
    <w:basedOn w:val="7"/>
    <w:qFormat/>
    <w:uiPriority w:val="0"/>
    <w:rPr>
      <w:color w:val="111111"/>
    </w:rPr>
  </w:style>
  <w:style w:type="character" w:customStyle="1" w:styleId="19">
    <w:name w:val="x-tab-strip-text1"/>
    <w:basedOn w:val="7"/>
    <w:qFormat/>
    <w:uiPriority w:val="0"/>
  </w:style>
  <w:style w:type="character" w:customStyle="1" w:styleId="20">
    <w:name w:val="x-tab-strip-text2"/>
    <w:basedOn w:val="7"/>
    <w:qFormat/>
    <w:uiPriority w:val="0"/>
    <w:rPr>
      <w:rFonts w:hint="eastAsia" w:ascii="宋体" w:hAnsi="宋体" w:eastAsia="宋体" w:cs="宋体"/>
      <w:color w:val="333333"/>
      <w:sz w:val="21"/>
      <w:szCs w:val="21"/>
    </w:rPr>
  </w:style>
  <w:style w:type="character" w:customStyle="1" w:styleId="21">
    <w:name w:val="x-tab-strip-text3"/>
    <w:basedOn w:val="7"/>
    <w:qFormat/>
    <w:uiPriority w:val="0"/>
  </w:style>
  <w:style w:type="character" w:customStyle="1" w:styleId="22">
    <w:name w:val="x-tab-strip-text4"/>
    <w:basedOn w:val="7"/>
    <w:qFormat/>
    <w:uiPriority w:val="0"/>
    <w:rPr>
      <w:b/>
      <w:color w:val="15428B"/>
    </w:rPr>
  </w:style>
  <w:style w:type="character" w:customStyle="1" w:styleId="23">
    <w:name w:val="x-tab-strip-text5"/>
    <w:basedOn w:val="7"/>
    <w:qFormat/>
    <w:uiPriority w:val="0"/>
  </w:style>
  <w:style w:type="character" w:customStyle="1" w:styleId="24">
    <w:name w:val="active1"/>
    <w:basedOn w:val="7"/>
    <w:qFormat/>
    <w:uiPriority w:val="0"/>
    <w:rPr>
      <w:color w:val="00FF00"/>
      <w:shd w:val="clear" w:color="auto" w:fill="000000"/>
    </w:rPr>
  </w:style>
  <w:style w:type="character" w:customStyle="1" w:styleId="25">
    <w:name w:val="hilite6"/>
    <w:basedOn w:val="7"/>
    <w:qFormat/>
    <w:uiPriority w:val="0"/>
    <w:rPr>
      <w:color w:val="FFFFFF"/>
      <w:shd w:val="clear" w:color="auto" w:fill="886666"/>
    </w:rPr>
  </w:style>
  <w:style w:type="character" w:customStyle="1" w:styleId="26">
    <w:name w:val="active7"/>
    <w:basedOn w:val="7"/>
    <w:qFormat/>
    <w:uiPriority w:val="0"/>
    <w:rPr>
      <w:color w:val="00FF00"/>
      <w:shd w:val="clear" w:color="auto" w:fill="000000"/>
    </w:rPr>
  </w:style>
  <w:style w:type="character" w:customStyle="1" w:styleId="27">
    <w:name w:val="hilite5"/>
    <w:basedOn w:val="7"/>
    <w:qFormat/>
    <w:uiPriority w:val="0"/>
    <w:rPr>
      <w:color w:val="FFFFFF"/>
      <w:shd w:val="clear" w:color="auto" w:fill="886666"/>
    </w:rPr>
  </w:style>
  <w:style w:type="character" w:customStyle="1" w:styleId="28">
    <w:name w:val="页眉 Char"/>
    <w:basedOn w:val="7"/>
    <w:link w:val="4"/>
    <w:qFormat/>
    <w:uiPriority w:val="0"/>
    <w:rPr>
      <w:rFonts w:asciiTheme="minorHAnsi" w:hAnsiTheme="minorHAnsi" w:eastAsiaTheme="minorEastAsia" w:cstheme="minorBidi"/>
      <w:kern w:val="2"/>
      <w:sz w:val="18"/>
      <w:szCs w:val="18"/>
    </w:rPr>
  </w:style>
  <w:style w:type="character" w:customStyle="1" w:styleId="29">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2573</Words>
  <Characters>2684</Characters>
  <Lines>11</Lines>
  <Paragraphs>3</Paragraphs>
  <TotalTime>42</TotalTime>
  <ScaleCrop>false</ScaleCrop>
  <LinksUpToDate>false</LinksUpToDate>
  <CharactersWithSpaces>2739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2019-06-18T07:59:00Z</dcterms:created>
  <dc:creator>Judy~</dc:creator>
  <cp:lastModifiedBy>蕃蕃</cp:lastModifiedBy>
  <cp:lastPrinted>2025-12-23T08:06:00Z</cp:lastPrinted>
  <dcterms:modified xsi:type="dcterms:W3CDTF">2026-07-22T02:37:08Z</dcterms:modified>
  <dc:title>柳州市柳北区市场监督管理局</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ABA5863254B1402DA06351EBC2878FB3_13</vt:lpwstr>
  </property>
  <property fmtid="{D5CDD505-2E9C-101B-9397-08002B2CF9AE}" pid="4" name="KSOTemplateDocerSaveRecord">
    <vt:lpwstr>eyJoZGlkIjoiNjljYzBiNmJkNjNmYjA3MDkwNzQ4ZTM5NDc1MTY5NDgiLCJ1c2VySWQiOiI5MTQwNjk2NTMifQ==</vt:lpwstr>
  </property>
</Properties>
</file>