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FA9DA0">
      <w:pPr>
        <w:spacing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柳州市柳北区市场监督管理局</w:t>
      </w:r>
    </w:p>
    <w:p w14:paraId="37701A71">
      <w:pPr>
        <w:tabs>
          <w:tab w:val="left" w:pos="1649"/>
          <w:tab w:val="center" w:pos="4596"/>
        </w:tabs>
        <w:spacing w:line="520" w:lineRule="exact"/>
        <w:jc w:val="left"/>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0000FF"/>
          <w:sz w:val="44"/>
          <w:szCs w:val="44"/>
          <w:lang w:eastAsia="zh-CN"/>
        </w:rPr>
        <w:tab/>
      </w:r>
      <w:bookmarkStart w:id="0" w:name="OLE_LINK4"/>
      <w:r>
        <w:rPr>
          <w:rFonts w:hint="eastAsia" w:ascii="方正小标宋简体" w:hAnsi="方正小标宋简体" w:eastAsia="方正小标宋简体" w:cs="方正小标宋简体"/>
          <w:color w:val="0000FF"/>
          <w:sz w:val="44"/>
          <w:szCs w:val="44"/>
          <w:lang w:val="en-US" w:eastAsia="zh-CN"/>
        </w:rPr>
        <w:t xml:space="preserve">    </w:t>
      </w:r>
      <w:r>
        <w:rPr>
          <w:rFonts w:hint="eastAsia" w:ascii="方正小标宋简体" w:hAnsi="方正小标宋简体" w:eastAsia="方正小标宋简体" w:cs="方正小标宋简体"/>
          <w:color w:val="auto"/>
          <w:sz w:val="44"/>
          <w:szCs w:val="44"/>
        </w:rPr>
        <w:t>行政处罚决定书</w:t>
      </w:r>
    </w:p>
    <w:p w14:paraId="654FD654">
      <w:pPr>
        <w:keepNext w:val="0"/>
        <w:keepLines w:val="0"/>
        <w:pageBreakBefore w:val="0"/>
        <w:widowControl w:val="0"/>
        <w:kinsoku/>
        <w:wordWrap/>
        <w:overflowPunct/>
        <w:topLinePunct w:val="0"/>
        <w:autoSpaceDE/>
        <w:autoSpaceDN/>
        <w:bidi w:val="0"/>
        <w:snapToGrid/>
        <w:spacing w:line="420" w:lineRule="exact"/>
        <w:ind w:left="0" w:leftChars="0" w:firstLine="2240" w:firstLineChars="7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柳北市监</w:t>
      </w:r>
      <w:r>
        <w:rPr>
          <w:rFonts w:hint="eastAsia" w:ascii="仿宋_GB2312" w:hAnsi="仿宋_GB2312" w:eastAsia="仿宋_GB2312" w:cs="仿宋_GB2312"/>
          <w:color w:val="000000" w:themeColor="text1"/>
          <w:sz w:val="32"/>
          <w:szCs w:val="32"/>
          <w:lang w:eastAsia="zh-CN"/>
          <w14:textFill>
            <w14:solidFill>
              <w14:schemeClr w14:val="tx1"/>
            </w14:solidFill>
          </w14:textFill>
        </w:rPr>
        <w:t>处</w:t>
      </w:r>
      <w:r>
        <w:rPr>
          <w:rFonts w:hint="eastAsia" w:ascii="仿宋_GB2312" w:hAnsi="仿宋_GB2312" w:eastAsia="仿宋_GB2312" w:cs="仿宋_GB2312"/>
          <w:color w:val="000000" w:themeColor="text1"/>
          <w:sz w:val="32"/>
          <w:szCs w:val="32"/>
          <w14:textFill>
            <w14:solidFill>
              <w14:schemeClr w14:val="tx1"/>
            </w14:solidFill>
          </w14:textFill>
        </w:rPr>
        <w:t>罚〔202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26 </w:t>
      </w:r>
      <w:r>
        <w:rPr>
          <w:rFonts w:hint="eastAsia" w:ascii="仿宋_GB2312" w:hAnsi="仿宋_GB2312" w:eastAsia="仿宋_GB2312" w:cs="仿宋_GB2312"/>
          <w:color w:val="000000" w:themeColor="text1"/>
          <w:sz w:val="32"/>
          <w:szCs w:val="32"/>
          <w14:textFill>
            <w14:solidFill>
              <w14:schemeClr w14:val="tx1"/>
            </w14:solidFill>
          </w14:textFill>
        </w:rPr>
        <w:t>号</w:t>
      </w:r>
    </w:p>
    <w:bookmarkEnd w:id="0"/>
    <w:p w14:paraId="0A97C31E">
      <w:pPr>
        <w:keepNext w:val="0"/>
        <w:keepLines w:val="0"/>
        <w:pageBreakBefore w:val="0"/>
        <w:widowControl w:val="0"/>
        <w:kinsoku/>
        <w:wordWrap/>
        <w:overflowPunct/>
        <w:topLinePunct w:val="0"/>
        <w:autoSpaceDE/>
        <w:autoSpaceDN/>
        <w:bidi w:val="0"/>
        <w:adjustRightInd w:val="0"/>
        <w:snapToGrid/>
        <w:spacing w:line="420" w:lineRule="exact"/>
        <w:ind w:left="0" w:leftChars="0" w:right="233" w:rightChars="111"/>
        <w:textAlignment w:val="baseline"/>
        <w:rPr>
          <w:rFonts w:hint="eastAsia" w:ascii="仿宋_GB2312" w:hAnsi="仿宋_GB2312" w:eastAsia="仿宋_GB2312" w:cs="仿宋_GB2312"/>
          <w:sz w:val="32"/>
          <w:szCs w:val="32"/>
        </w:rPr>
      </w:pPr>
    </w:p>
    <w:p w14:paraId="47FE727F">
      <w:pPr>
        <w:keepNext w:val="0"/>
        <w:keepLines w:val="0"/>
        <w:pageBreakBefore w:val="0"/>
        <w:widowControl w:val="0"/>
        <w:kinsoku/>
        <w:wordWrap/>
        <w:overflowPunct/>
        <w:topLinePunct w:val="0"/>
        <w:autoSpaceDE/>
        <w:autoSpaceDN/>
        <w:bidi w:val="0"/>
        <w:adjustRightInd w:val="0"/>
        <w:snapToGrid/>
        <w:spacing w:line="440" w:lineRule="exact"/>
        <w:ind w:left="0" w:leftChars="0" w:right="233" w:rightChars="111"/>
        <w:textAlignment w:val="baseline"/>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val="0"/>
          <w:bCs/>
          <w:color w:val="auto"/>
          <w:sz w:val="32"/>
          <w:szCs w:val="32"/>
          <w:u w:val="none" w:color="auto"/>
          <w:lang w:val="en-US" w:eastAsia="zh-CN"/>
        </w:rPr>
        <w:t>当事人：</w:t>
      </w:r>
      <w:r>
        <w:rPr>
          <w:rFonts w:hint="default" w:ascii="仿宋_GB2312" w:hAnsi="仿宋_GB2312" w:eastAsia="仿宋_GB2312" w:cs="仿宋_GB2312"/>
          <w:color w:val="auto"/>
          <w:sz w:val="32"/>
          <w:szCs w:val="32"/>
          <w:u w:val="none"/>
        </w:rPr>
        <w:t>柳州市柳北区</w:t>
      </w:r>
      <w:r>
        <w:rPr>
          <w:rFonts w:hint="eastAsia" w:ascii="仿宋_GB2312" w:hAnsi="仿宋_GB2312" w:eastAsia="仿宋_GB2312" w:cs="仿宋_GB2312"/>
          <w:color w:val="auto"/>
          <w:sz w:val="32"/>
          <w:szCs w:val="32"/>
          <w:u w:val="none"/>
          <w:lang w:eastAsia="zh-CN"/>
        </w:rPr>
        <w:t>囡囡小屋母婴用品店</w:t>
      </w:r>
    </w:p>
    <w:p w14:paraId="7A986E9D">
      <w:pPr>
        <w:keepNext w:val="0"/>
        <w:keepLines w:val="0"/>
        <w:pageBreakBefore w:val="0"/>
        <w:widowControl w:val="0"/>
        <w:kinsoku/>
        <w:wordWrap/>
        <w:overflowPunct/>
        <w:topLinePunct w:val="0"/>
        <w:autoSpaceDE/>
        <w:autoSpaceDN/>
        <w:bidi w:val="0"/>
        <w:adjustRightInd w:val="0"/>
        <w:snapToGrid/>
        <w:spacing w:line="440" w:lineRule="exact"/>
        <w:ind w:left="0" w:leftChars="0" w:right="233" w:rightChars="111"/>
        <w:textAlignment w:val="baseline"/>
        <w:rPr>
          <w:rFonts w:hint="eastAsia" w:ascii="仿宋_GB2312" w:hAnsi="仿宋_GB2312" w:eastAsia="仿宋_GB2312" w:cs="仿宋_GB2312"/>
          <w:b w:val="0"/>
          <w:bCs/>
          <w:color w:val="auto"/>
          <w:sz w:val="32"/>
          <w:szCs w:val="32"/>
          <w:u w:val="none" w:color="auto"/>
          <w:lang w:val="en-US" w:eastAsia="zh-CN"/>
        </w:rPr>
      </w:pPr>
      <w:r>
        <w:rPr>
          <w:rFonts w:hint="eastAsia" w:ascii="仿宋_GB2312" w:hAnsi="仿宋_GB2312" w:eastAsia="仿宋_GB2312" w:cs="仿宋_GB2312"/>
          <w:b w:val="0"/>
          <w:bCs/>
          <w:color w:val="auto"/>
          <w:sz w:val="32"/>
          <w:szCs w:val="32"/>
          <w:u w:val="none" w:color="auto"/>
          <w:lang w:val="en-US" w:eastAsia="zh-CN"/>
        </w:rPr>
        <w:t>主体资格证照名称：</w:t>
      </w:r>
      <w:r>
        <w:rPr>
          <w:rFonts w:hint="eastAsia" w:ascii="仿宋_GB2312" w:hAnsi="仿宋_GB2312" w:eastAsia="仿宋_GB2312" w:cs="仿宋_GB2312"/>
          <w:b w:val="0"/>
          <w:bCs/>
          <w:color w:val="auto"/>
          <w:kern w:val="1"/>
          <w:sz w:val="32"/>
          <w:szCs w:val="32"/>
          <w:u w:val="none" w:color="auto"/>
          <w:lang w:eastAsia="zh-CN"/>
        </w:rPr>
        <w:t>营业执照</w:t>
      </w:r>
      <w:r>
        <w:rPr>
          <w:rFonts w:hint="eastAsia" w:ascii="仿宋_GB2312" w:hAnsi="仿宋_GB2312" w:eastAsia="仿宋_GB2312" w:cs="仿宋_GB2312"/>
          <w:b w:val="0"/>
          <w:bCs/>
          <w:color w:val="auto"/>
          <w:sz w:val="32"/>
          <w:szCs w:val="32"/>
          <w:u w:val="none" w:color="auto"/>
          <w:lang w:val="en-US" w:eastAsia="zh-CN"/>
        </w:rPr>
        <w:t xml:space="preserve">  </w:t>
      </w:r>
    </w:p>
    <w:p w14:paraId="1CB999CE">
      <w:pPr>
        <w:keepNext w:val="0"/>
        <w:keepLines w:val="0"/>
        <w:pageBreakBefore w:val="0"/>
        <w:widowControl w:val="0"/>
        <w:kinsoku/>
        <w:wordWrap/>
        <w:overflowPunct/>
        <w:topLinePunct w:val="0"/>
        <w:autoSpaceDE/>
        <w:autoSpaceDN/>
        <w:bidi w:val="0"/>
        <w:adjustRightInd w:val="0"/>
        <w:snapToGrid/>
        <w:spacing w:line="440" w:lineRule="exact"/>
        <w:ind w:left="0" w:leftChars="0" w:right="233" w:rightChars="111"/>
        <w:textAlignment w:val="baseline"/>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u w:val="none" w:color="auto"/>
          <w:lang w:val="en-US" w:eastAsia="zh-CN"/>
        </w:rPr>
        <w:t>统一社会信用代码：</w:t>
      </w:r>
      <w:bookmarkStart w:id="1" w:name="dsrgtgshtyshxydm"/>
      <w:r>
        <w:rPr>
          <w:rFonts w:hint="default" w:ascii="仿宋_GB2312" w:eastAsia="仿宋_GB2312" w:cs="仿宋"/>
          <w:color w:val="auto"/>
          <w:sz w:val="32"/>
          <w:szCs w:val="32"/>
        </w:rPr>
        <w:t>92450205MA</w:t>
      </w:r>
      <w:bookmarkEnd w:id="1"/>
      <w:r>
        <w:rPr>
          <w:rFonts w:hint="eastAsia" w:ascii="仿宋_GB2312" w:eastAsia="仿宋_GB2312" w:cs="仿宋"/>
          <w:color w:val="auto"/>
          <w:sz w:val="32"/>
          <w:szCs w:val="32"/>
          <w:lang w:val="en-US" w:eastAsia="zh-CN"/>
        </w:rPr>
        <w:t>5NY4E883</w:t>
      </w:r>
    </w:p>
    <w:p w14:paraId="42297CCB">
      <w:pPr>
        <w:keepNext w:val="0"/>
        <w:keepLines w:val="0"/>
        <w:pageBreakBefore w:val="0"/>
        <w:widowControl w:val="0"/>
        <w:kinsoku/>
        <w:wordWrap/>
        <w:overflowPunct/>
        <w:topLinePunct w:val="0"/>
        <w:autoSpaceDE/>
        <w:autoSpaceDN/>
        <w:bidi w:val="0"/>
        <w:adjustRightInd w:val="0"/>
        <w:snapToGrid/>
        <w:spacing w:line="440" w:lineRule="exact"/>
        <w:ind w:left="0" w:leftChars="0" w:right="233" w:rightChars="111"/>
        <w:textAlignment w:val="baseline"/>
        <w:rPr>
          <w:rFonts w:hint="eastAsia" w:ascii="仿宋_GB2312" w:hAnsi="仿宋_GB2312" w:eastAsia="仿宋_GB2312" w:cs="仿宋_GB2312"/>
          <w:b w:val="0"/>
          <w:bCs/>
          <w:color w:val="auto"/>
          <w:sz w:val="32"/>
          <w:szCs w:val="32"/>
          <w:u w:val="none"/>
          <w:lang w:val="en-US" w:eastAsia="zh-CN"/>
        </w:rPr>
      </w:pPr>
      <w:r>
        <w:rPr>
          <w:rFonts w:hint="eastAsia" w:ascii="仿宋_GB2312" w:hAnsi="仿宋_GB2312" w:eastAsia="仿宋_GB2312" w:cs="仿宋_GB2312"/>
          <w:color w:val="auto"/>
          <w:sz w:val="32"/>
          <w:szCs w:val="32"/>
          <w:u w:val="none"/>
        </w:rPr>
        <w:t>经营场所</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rPr>
        <w:t>柳州市</w:t>
      </w:r>
      <w:r>
        <w:rPr>
          <w:rFonts w:hint="eastAsia" w:ascii="仿宋_GB2312" w:hAnsi="仿宋_GB2312" w:eastAsia="仿宋_GB2312" w:cs="仿宋_GB2312"/>
          <w:color w:val="auto"/>
          <w:sz w:val="32"/>
          <w:szCs w:val="32"/>
          <w:lang w:eastAsia="zh-CN"/>
        </w:rPr>
        <w:t>白沙路</w:t>
      </w:r>
      <w:r>
        <w:rPr>
          <w:rFonts w:hint="eastAsia" w:ascii="仿宋_GB2312" w:hAnsi="仿宋_GB2312" w:eastAsia="仿宋_GB2312" w:cs="仿宋_GB2312"/>
          <w:color w:val="auto"/>
          <w:sz w:val="32"/>
          <w:szCs w:val="32"/>
          <w:lang w:val="en-US" w:eastAsia="zh-CN"/>
        </w:rPr>
        <w:t>2号保利商业广场3F05号</w:t>
      </w:r>
    </w:p>
    <w:p w14:paraId="3777186E">
      <w:pPr>
        <w:keepNext w:val="0"/>
        <w:keepLines w:val="0"/>
        <w:pageBreakBefore w:val="0"/>
        <w:widowControl w:val="0"/>
        <w:kinsoku/>
        <w:wordWrap/>
        <w:overflowPunct/>
        <w:topLinePunct w:val="0"/>
        <w:autoSpaceDE/>
        <w:autoSpaceDN/>
        <w:bidi w:val="0"/>
        <w:adjustRightInd w:val="0"/>
        <w:snapToGrid/>
        <w:spacing w:line="440" w:lineRule="exact"/>
        <w:ind w:left="0" w:leftChars="0" w:right="233" w:rightChars="111"/>
        <w:textAlignment w:val="baseline"/>
        <w:rPr>
          <w:rFonts w:hint="eastAsia" w:ascii="仿宋_GB2312" w:hAnsi="仿宋_GB2312" w:eastAsia="仿宋_GB2312" w:cs="仿宋_GB2312"/>
          <w:b w:val="0"/>
          <w:bCs/>
          <w:color w:val="auto"/>
          <w:sz w:val="32"/>
          <w:szCs w:val="32"/>
          <w:u w:val="none" w:color="auto"/>
          <w:lang w:eastAsia="zh-CN"/>
        </w:rPr>
      </w:pPr>
      <w:r>
        <w:rPr>
          <w:rFonts w:hint="eastAsia" w:ascii="仿宋_GB2312" w:hAnsi="仿宋_GB2312" w:eastAsia="仿宋_GB2312" w:cs="仿宋_GB2312"/>
          <w:color w:val="auto"/>
          <w:sz w:val="32"/>
          <w:szCs w:val="32"/>
          <w:u w:val="none"/>
        </w:rPr>
        <w:t>经营者：</w:t>
      </w:r>
      <w:r>
        <w:rPr>
          <w:rFonts w:hint="eastAsia" w:eastAsia="仿宋_GB2312"/>
          <w:color w:val="auto"/>
          <w:sz w:val="32"/>
          <w:szCs w:val="32"/>
          <w:lang w:val="en-US" w:eastAsia="zh-CN"/>
        </w:rPr>
        <w:t>王丽晓</w:t>
      </w:r>
    </w:p>
    <w:p w14:paraId="201D6AA3">
      <w:pPr>
        <w:keepNext w:val="0"/>
        <w:keepLines w:val="0"/>
        <w:pageBreakBefore w:val="0"/>
        <w:widowControl w:val="0"/>
        <w:kinsoku/>
        <w:wordWrap/>
        <w:overflowPunct/>
        <w:topLinePunct w:val="0"/>
        <w:autoSpaceDE/>
        <w:autoSpaceDN/>
        <w:bidi w:val="0"/>
        <w:adjustRightInd w:val="0"/>
        <w:snapToGrid/>
        <w:spacing w:line="440" w:lineRule="exact"/>
        <w:ind w:left="0" w:leftChars="0" w:right="233" w:rightChars="111"/>
        <w:textAlignment w:val="baseline"/>
        <w:rPr>
          <w:rFonts w:hint="default" w:ascii="仿宋_GB2312" w:hAnsi="仿宋_GB2312" w:eastAsia="仿宋_GB2312" w:cs="仿宋_GB2312"/>
          <w:b w:val="0"/>
          <w:bCs/>
          <w:color w:val="auto"/>
          <w:kern w:val="0"/>
          <w:sz w:val="32"/>
          <w:szCs w:val="32"/>
          <w:u w:val="none" w:color="auto"/>
          <w:lang w:val="en-US" w:eastAsia="zh-CN" w:bidi="ar"/>
        </w:rPr>
      </w:pPr>
      <w:r>
        <w:rPr>
          <w:rFonts w:hint="eastAsia" w:ascii="仿宋_GB2312" w:hAnsi="仿宋_GB2312" w:eastAsia="仿宋_GB2312" w:cs="仿宋_GB2312"/>
          <w:b w:val="0"/>
          <w:bCs/>
          <w:color w:val="auto"/>
          <w:sz w:val="32"/>
          <w:szCs w:val="32"/>
          <w:u w:val="none" w:color="auto"/>
          <w:lang w:val="en-US" w:eastAsia="zh-CN"/>
        </w:rPr>
        <w:t>身份证件号码：</w:t>
      </w:r>
      <w:r>
        <w:rPr>
          <w:rFonts w:hint="eastAsia" w:ascii="仿宋_GB2312" w:hAnsi="仿宋_GB2312" w:eastAsia="仿宋_GB2312" w:cs="仿宋_GB2312"/>
          <w:i w:val="0"/>
          <w:iCs w:val="0"/>
          <w:caps w:val="0"/>
          <w:color w:val="auto"/>
          <w:spacing w:val="0"/>
          <w:sz w:val="32"/>
          <w:szCs w:val="32"/>
          <w:u w:val="none"/>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u w:val="none"/>
          <w:shd w:val="clear" w:fill="FFFFFF"/>
          <w:lang w:val="en-US" w:eastAsia="zh-CN"/>
        </w:rPr>
        <w:t xml:space="preserve">                                                                                                                                                                                                                                                                                                                                                                                                                                                                                                                                                                                                                                                                                                                                                                                                                                                                                                                                                                                                                                                                                                                                                                                                                                                                                                                                                                                                                                                                                    </w:t>
      </w:r>
    </w:p>
    <w:p w14:paraId="0EE44302">
      <w:pPr>
        <w:keepNext w:val="0"/>
        <w:keepLines w:val="0"/>
        <w:pageBreakBefore w:val="0"/>
        <w:kinsoku/>
        <w:wordWrap/>
        <w:overflowPunct/>
        <w:topLinePunct w:val="0"/>
        <w:bidi w:val="0"/>
        <w:snapToGrid/>
        <w:spacing w:line="440" w:lineRule="exact"/>
      </w:pPr>
    </w:p>
    <w:p w14:paraId="2B9E2470">
      <w:pPr>
        <w:keepNext w:val="0"/>
        <w:keepLines w:val="0"/>
        <w:pageBreakBefore w:val="0"/>
        <w:kinsoku/>
        <w:wordWrap/>
        <w:overflowPunct/>
        <w:topLinePunct w:val="0"/>
        <w:bidi w:val="0"/>
        <w:snapToGrid/>
        <w:spacing w:line="440" w:lineRule="exact"/>
        <w:ind w:firstLine="640" w:firstLineChars="200"/>
        <w:rPr>
          <w:rFonts w:hint="eastAsia" w:ascii="仿宋_GB2312" w:hAnsi="仿宋_GB2312" w:eastAsia="仿宋_GB2312" w:cs="仿宋_GB2312"/>
          <w:bCs/>
          <w:color w:val="auto"/>
          <w:sz w:val="32"/>
          <w:szCs w:val="32"/>
          <w:u w:val="none"/>
          <w:lang w:val="en-US" w:eastAsia="zh-CN"/>
        </w:rPr>
      </w:pPr>
      <w:r>
        <w:rPr>
          <w:rFonts w:hint="eastAsia" w:ascii="仿宋_GB2312" w:hAnsi="仿宋_GB2312" w:eastAsia="仿宋_GB2312" w:cs="仿宋_GB2312"/>
          <w:bCs/>
          <w:color w:val="auto"/>
          <w:sz w:val="32"/>
          <w:szCs w:val="32"/>
          <w:u w:val="none"/>
          <w:lang w:val="en-US" w:eastAsia="zh-CN"/>
        </w:rPr>
        <w:t>2025年12月1日，我局执法人员在</w:t>
      </w:r>
      <w:r>
        <w:rPr>
          <w:rFonts w:hint="eastAsia" w:ascii="仿宋_GB2312" w:hAnsi="仿宋_GB2312" w:eastAsia="仿宋_GB2312" w:cs="仿宋_GB2312"/>
          <w:color w:val="auto"/>
          <w:sz w:val="32"/>
          <w:szCs w:val="32"/>
          <w:u w:val="none"/>
          <w:lang w:val="en-US" w:eastAsia="zh-CN"/>
        </w:rPr>
        <w:t>当事人的经营场所</w:t>
      </w:r>
      <w:r>
        <w:rPr>
          <w:rFonts w:hint="eastAsia" w:ascii="仿宋_GB2312" w:hAnsi="仿宋_GB2312" w:eastAsia="仿宋_GB2312" w:cs="仿宋_GB2312"/>
          <w:bCs/>
          <w:color w:val="auto"/>
          <w:sz w:val="32"/>
          <w:szCs w:val="32"/>
          <w:u w:val="none"/>
          <w:lang w:val="en-US" w:eastAsia="zh-CN"/>
        </w:rPr>
        <w:t>检查时发现，该店有6盒</w:t>
      </w:r>
      <w:r>
        <w:rPr>
          <w:rFonts w:hint="eastAsia" w:eastAsia="仿宋_GB2312"/>
          <w:color w:val="auto"/>
          <w:sz w:val="32"/>
          <w:szCs w:val="32"/>
          <w:lang w:val="en-US" w:eastAsia="zh-CN"/>
        </w:rPr>
        <w:t>婷美妈妈系列套装</w:t>
      </w:r>
      <w:r>
        <w:rPr>
          <w:rFonts w:hint="eastAsia" w:ascii="仿宋_GB2312" w:hAnsi="仿宋_GB2312" w:eastAsia="仿宋_GB2312" w:cs="仿宋_GB2312"/>
          <w:bCs/>
          <w:color w:val="auto"/>
          <w:sz w:val="32"/>
          <w:szCs w:val="32"/>
          <w:u w:val="none"/>
          <w:lang w:val="en-US" w:eastAsia="zh-CN"/>
        </w:rPr>
        <w:t>化妆品已超过限用日期仍与正在经营使用的化妆品混放在店内产品货架上。2025年12月8日我局对当事人涉嫌</w:t>
      </w:r>
      <w:r>
        <w:rPr>
          <w:rFonts w:hint="eastAsia" w:ascii="仿宋_GB2312" w:hAnsi="仿宋_GB2312" w:eastAsia="仿宋_GB2312" w:cs="仿宋_GB2312"/>
          <w:bCs/>
          <w:color w:val="auto"/>
          <w:sz w:val="32"/>
          <w:szCs w:val="32"/>
          <w:u w:val="none"/>
          <w:lang w:eastAsia="zh-CN"/>
        </w:rPr>
        <w:t>未按规定定期检查并及时处理超过使用期限的化妆品的行为</w:t>
      </w:r>
      <w:r>
        <w:rPr>
          <w:rFonts w:hint="eastAsia" w:ascii="仿宋_GB2312" w:hAnsi="仿宋_GB2312" w:eastAsia="仿宋_GB2312" w:cs="仿宋_GB2312"/>
          <w:bCs/>
          <w:color w:val="auto"/>
          <w:sz w:val="32"/>
          <w:szCs w:val="32"/>
          <w:u w:val="none"/>
          <w:lang w:val="en-US" w:eastAsia="zh-CN"/>
        </w:rPr>
        <w:t>予以立案调查。</w:t>
      </w:r>
    </w:p>
    <w:p w14:paraId="44EBFE5A">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outlineLvl w:val="1"/>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u w:val="none"/>
          <w:lang w:eastAsia="zh-CN"/>
        </w:rPr>
        <w:t>经查实，当事人</w:t>
      </w:r>
      <w:r>
        <w:rPr>
          <w:rFonts w:hint="eastAsia" w:ascii="仿宋_GB2312" w:hAnsi="仿宋_GB2312" w:eastAsia="仿宋_GB2312" w:cs="仿宋_GB2312"/>
          <w:color w:val="auto"/>
          <w:sz w:val="32"/>
          <w:szCs w:val="32"/>
          <w:lang w:val="en-US" w:eastAsia="zh-CN"/>
        </w:rPr>
        <w:t>2022年10月28日</w:t>
      </w:r>
      <w:r>
        <w:rPr>
          <w:rFonts w:hint="eastAsia" w:eastAsia="仿宋_GB2312"/>
          <w:color w:val="auto"/>
          <w:sz w:val="32"/>
          <w:szCs w:val="32"/>
          <w:lang w:val="en-US" w:eastAsia="zh-CN"/>
        </w:rPr>
        <w:t>通过线上APP下单从*有限公司购进</w:t>
      </w:r>
      <w:r>
        <w:rPr>
          <w:rFonts w:hint="eastAsia" w:ascii="仿宋_GB2312" w:hAnsi="仿宋_GB2312" w:eastAsia="仿宋_GB2312" w:cs="仿宋_GB2312"/>
          <w:color w:val="auto"/>
          <w:sz w:val="32"/>
          <w:szCs w:val="32"/>
          <w:highlight w:val="none"/>
          <w:lang w:val="en-US" w:eastAsia="zh-CN"/>
        </w:rPr>
        <w:t>以下化妆品：</w:t>
      </w:r>
      <w:r>
        <w:rPr>
          <w:rFonts w:hint="eastAsia" w:ascii="仿宋_GB2312" w:hAnsi="仿宋_GB2312" w:eastAsia="仿宋_GB2312" w:cs="仿宋_GB2312"/>
          <w:color w:val="auto"/>
          <w:sz w:val="32"/>
          <w:szCs w:val="32"/>
          <w:lang w:val="en-US" w:eastAsia="zh-CN"/>
        </w:rPr>
        <w:t>1、婷美妈妈胸部舒润呵护套购进3盒，品牌方：*有限公司；备案人/生产企业：*有限公司；化妆品生产许可证号：粤妆202161205；限用日期EXP：20241219；生产批号LOT：JC2112203B7。2、婷美妈妈臀部养护套购进3盒，品牌方：*有限公司；备案人/生产企业：*</w:t>
      </w:r>
      <w:bookmarkStart w:id="3" w:name="_GoBack"/>
      <w:bookmarkEnd w:id="3"/>
      <w:r>
        <w:rPr>
          <w:rFonts w:hint="eastAsia" w:ascii="仿宋_GB2312" w:hAnsi="仿宋_GB2312" w:eastAsia="仿宋_GB2312" w:cs="仿宋_GB2312"/>
          <w:color w:val="auto"/>
          <w:sz w:val="32"/>
          <w:szCs w:val="32"/>
          <w:lang w:val="en-US" w:eastAsia="zh-CN"/>
        </w:rPr>
        <w:t>有限公司；化妆品生产许可证号：粤妆202161205；限用日期EXP：20250522；生产批号LOT：JC2205235B5。3、婷美妈妈肩背舒畅套购进3盒，品牌方：*有限公司；备案人/生产企业：*有限公司；化妆品生产许可证号：粤妆202161205；限用日期EXP：20250522；生产批号LOT：JC2205235B3。4、厂家赠送婷美妈妈草本精华套2盒；备案人/生产企业：*有限公司；化妆品生产许可证号：粤妆20210408；限用日期：20250411；生产批号：ZY20220412。当事人上述化妆品</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lang w:val="en-US" w:eastAsia="zh-CN"/>
        </w:rPr>
        <w:t>使用价格为98元/4次，一盒能使用10次。至2025年12月1日被我局查获时，</w:t>
      </w:r>
      <w:r>
        <w:rPr>
          <w:rFonts w:hint="eastAsia" w:ascii="仿宋_GB2312" w:hAnsi="仿宋_GB2312" w:eastAsia="仿宋_GB2312" w:cs="仿宋_GB2312"/>
          <w:color w:val="auto"/>
          <w:sz w:val="32"/>
          <w:szCs w:val="32"/>
          <w:highlight w:val="none"/>
          <w:lang w:val="en-US" w:eastAsia="zh-CN"/>
        </w:rPr>
        <w:t>上述化妆品的</w:t>
      </w:r>
      <w:r>
        <w:rPr>
          <w:rFonts w:hint="eastAsia" w:ascii="仿宋_GB2312" w:hAnsi="仿宋_GB2312" w:eastAsia="仿宋_GB2312" w:cs="仿宋_GB2312"/>
          <w:color w:val="auto"/>
          <w:sz w:val="32"/>
          <w:szCs w:val="32"/>
          <w:lang w:val="en-US" w:eastAsia="zh-CN"/>
        </w:rPr>
        <w:t>婷美妈妈胸部舒润呵护套、婷美妈妈臀部养护套和婷美妈妈草本精华套分别还剩1盒，婷美妈妈肩背舒畅套剩3盒，当事人</w:t>
      </w:r>
      <w:r>
        <w:rPr>
          <w:rFonts w:hint="eastAsia" w:ascii="仿宋_GB2312" w:hAnsi="仿宋_GB2312" w:eastAsia="仿宋_GB2312" w:cs="仿宋_GB2312"/>
          <w:color w:val="auto"/>
          <w:sz w:val="32"/>
          <w:szCs w:val="32"/>
          <w:highlight w:val="none"/>
          <w:lang w:val="en-US" w:eastAsia="zh-CN"/>
        </w:rPr>
        <w:t>仍将超过限用日期的上述化妆品</w:t>
      </w:r>
      <w:r>
        <w:rPr>
          <w:rFonts w:hint="eastAsia" w:ascii="仿宋_GB2312" w:hAnsi="仿宋_GB2312" w:eastAsia="仿宋_GB2312" w:cs="仿宋_GB2312"/>
          <w:color w:val="auto"/>
          <w:sz w:val="32"/>
          <w:szCs w:val="32"/>
          <w:lang w:val="en-US" w:eastAsia="zh-CN"/>
        </w:rPr>
        <w:t>与正在经营使用的化妆品混放，货值金额共计1470元。</w:t>
      </w:r>
    </w:p>
    <w:p w14:paraId="49D740EC">
      <w:pPr>
        <w:keepNext w:val="0"/>
        <w:keepLines w:val="0"/>
        <w:pageBreakBefore w:val="0"/>
        <w:kinsoku/>
        <w:wordWrap/>
        <w:overflowPunct/>
        <w:topLinePunct w:val="0"/>
        <w:bidi w:val="0"/>
        <w:snapToGrid/>
        <w:spacing w:line="440" w:lineRule="exact"/>
        <w:ind w:firstLine="640" w:firstLineChars="200"/>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color w:val="auto"/>
          <w:sz w:val="32"/>
          <w:szCs w:val="32"/>
          <w:lang w:val="en-US" w:eastAsia="zh-CN"/>
        </w:rPr>
        <w:t>在案件调查过程中，当事人主动</w:t>
      </w:r>
      <w:r>
        <w:rPr>
          <w:rFonts w:hint="eastAsia" w:ascii="仿宋_GB2312" w:hAnsi="仿宋_GB2312" w:eastAsia="仿宋_GB2312" w:cs="仿宋_GB2312"/>
          <w:bCs/>
          <w:color w:val="auto"/>
          <w:sz w:val="32"/>
          <w:szCs w:val="32"/>
          <w:lang w:val="en-US" w:eastAsia="zh-CN"/>
        </w:rPr>
        <w:t>销毁上述已</w:t>
      </w:r>
      <w:r>
        <w:rPr>
          <w:rFonts w:hint="eastAsia" w:ascii="仿宋_GB2312" w:hAnsi="仿宋_GB2312" w:eastAsia="仿宋_GB2312" w:cs="仿宋_GB2312"/>
          <w:color w:val="auto"/>
          <w:sz w:val="32"/>
          <w:szCs w:val="32"/>
          <w:highlight w:val="none"/>
          <w:lang w:val="en-US" w:eastAsia="zh-CN"/>
        </w:rPr>
        <w:t>超过限用日期的</w:t>
      </w:r>
      <w:r>
        <w:rPr>
          <w:rFonts w:hint="eastAsia" w:ascii="仿宋_GB2312" w:hAnsi="仿宋_GB2312" w:eastAsia="仿宋_GB2312" w:cs="仿宋_GB2312"/>
          <w:i w:val="0"/>
          <w:caps w:val="0"/>
          <w:color w:val="auto"/>
          <w:spacing w:val="0"/>
          <w:sz w:val="32"/>
          <w:szCs w:val="32"/>
          <w:shd w:val="clear" w:fill="FFFFFF"/>
          <w:lang w:val="en-US" w:eastAsia="zh-CN"/>
        </w:rPr>
        <w:t>化妆品，并对店内的产品盘查。</w:t>
      </w:r>
    </w:p>
    <w:p w14:paraId="45A005C3">
      <w:pPr>
        <w:pStyle w:val="6"/>
        <w:keepNext w:val="0"/>
        <w:keepLines w:val="0"/>
        <w:pageBreakBefore w:val="0"/>
        <w:kinsoku/>
        <w:wordWrap/>
        <w:overflowPunct/>
        <w:topLinePunct w:val="0"/>
        <w:bidi w:val="0"/>
        <w:snapToGrid/>
        <w:spacing w:line="440" w:lineRule="exact"/>
        <w:ind w:firstLine="640" w:firstLineChars="200"/>
        <w:textAlignment w:val="auto"/>
        <w:rPr>
          <w:rFonts w:hint="eastAsia" w:ascii="仿宋_GB2312" w:hAnsi="仿宋_GB2312" w:eastAsia="仿宋_GB2312" w:cs="仿宋_GB2312"/>
          <w:b/>
          <w:bCs/>
          <w:color w:val="auto"/>
          <w:sz w:val="32"/>
          <w:szCs w:val="32"/>
          <w:u w:val="none"/>
        </w:rPr>
      </w:pPr>
      <w:r>
        <w:rPr>
          <w:rFonts w:hint="eastAsia" w:ascii="仿宋_GB2312" w:hAnsi="仿宋_GB2312" w:eastAsia="仿宋_GB2312" w:cs="仿宋_GB2312"/>
          <w:b w:val="0"/>
          <w:bCs w:val="0"/>
          <w:color w:val="auto"/>
          <w:sz w:val="32"/>
          <w:szCs w:val="32"/>
          <w:u w:val="none"/>
        </w:rPr>
        <w:t>上述事实，主要有以下证据证明：</w:t>
      </w:r>
    </w:p>
    <w:p w14:paraId="2F09B2C8">
      <w:pPr>
        <w:pStyle w:val="6"/>
        <w:keepNext w:val="0"/>
        <w:keepLines w:val="0"/>
        <w:pageBreakBefore w:val="0"/>
        <w:kinsoku/>
        <w:wordWrap/>
        <w:overflowPunct/>
        <w:topLinePunct w:val="0"/>
        <w:bidi w:val="0"/>
        <w:snapToGrid/>
        <w:spacing w:line="440" w:lineRule="exact"/>
        <w:ind w:firstLine="640" w:firstLineChars="200"/>
        <w:textAlignment w:val="auto"/>
        <w:rPr>
          <w:rFonts w:hint="default"/>
          <w:color w:val="auto"/>
          <w:lang w:val="en-US" w:eastAsia="zh-CN"/>
        </w:rPr>
      </w:pPr>
      <w:r>
        <w:rPr>
          <w:rFonts w:hint="eastAsia" w:hAnsi="仿宋_GB2312" w:cs="仿宋_GB2312"/>
          <w:color w:val="auto"/>
          <w:sz w:val="32"/>
          <w:szCs w:val="32"/>
          <w:u w:val="none"/>
          <w:lang w:val="en-US" w:eastAsia="zh-CN"/>
        </w:rPr>
        <w:t>1、</w:t>
      </w:r>
      <w:r>
        <w:rPr>
          <w:rFonts w:hint="eastAsia" w:hAnsi="仿宋_GB2312" w:cs="仿宋_GB2312"/>
          <w:color w:val="auto"/>
          <w:sz w:val="32"/>
          <w:szCs w:val="32"/>
          <w:u w:val="none"/>
          <w:lang w:eastAsia="zh-CN"/>
        </w:rPr>
        <w:t>当事人的</w:t>
      </w:r>
      <w:r>
        <w:rPr>
          <w:rFonts w:hint="eastAsia"/>
          <w:color w:val="auto"/>
          <w:sz w:val="32"/>
          <w:szCs w:val="32"/>
          <w:lang w:eastAsia="zh-CN"/>
        </w:rPr>
        <w:t>营业执照复印件</w:t>
      </w:r>
      <w:r>
        <w:rPr>
          <w:rFonts w:hint="eastAsia"/>
          <w:color w:val="auto"/>
          <w:sz w:val="32"/>
          <w:szCs w:val="32"/>
          <w:lang w:val="en-US" w:eastAsia="zh-CN"/>
        </w:rPr>
        <w:t>1份，</w:t>
      </w:r>
      <w:r>
        <w:rPr>
          <w:rFonts w:hint="eastAsia" w:eastAsia="仿宋_GB2312"/>
          <w:color w:val="auto"/>
          <w:sz w:val="32"/>
          <w:szCs w:val="32"/>
          <w:lang w:val="en-US" w:eastAsia="zh-CN"/>
        </w:rPr>
        <w:t>王</w:t>
      </w:r>
      <w:r>
        <w:rPr>
          <w:rFonts w:hint="eastAsia"/>
          <w:color w:val="auto"/>
          <w:sz w:val="32"/>
          <w:szCs w:val="32"/>
          <w:lang w:val="en-US" w:eastAsia="zh-CN"/>
        </w:rPr>
        <w:t>丽晓</w:t>
      </w:r>
      <w:r>
        <w:rPr>
          <w:rFonts w:hint="eastAsia" w:ascii="仿宋_GB2312" w:hAnsi="仿宋_GB2312" w:eastAsia="仿宋_GB2312" w:cs="仿宋_GB2312"/>
          <w:bCs/>
          <w:color w:val="auto"/>
          <w:sz w:val="32"/>
          <w:szCs w:val="32"/>
          <w:u w:val="none"/>
          <w:lang w:val="en-US" w:eastAsia="zh-CN"/>
        </w:rPr>
        <w:t>身份证复印件1份，</w:t>
      </w:r>
      <w:r>
        <w:rPr>
          <w:rFonts w:hint="eastAsia"/>
          <w:color w:val="auto"/>
          <w:sz w:val="32"/>
          <w:szCs w:val="32"/>
          <w:lang w:val="en-US" w:eastAsia="zh-CN"/>
        </w:rPr>
        <w:t>证明当事人的主体资格及经营者的身份；</w:t>
      </w:r>
    </w:p>
    <w:p w14:paraId="3009699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40" w:lineRule="exact"/>
        <w:ind w:left="0" w:leftChars="0" w:right="0" w:rightChars="0" w:firstLine="640" w:firstLineChars="200"/>
        <w:jc w:val="left"/>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Cs/>
          <w:color w:val="auto"/>
          <w:sz w:val="32"/>
          <w:szCs w:val="32"/>
          <w:u w:val="none"/>
          <w:lang w:val="en-US" w:eastAsia="zh-CN"/>
        </w:rPr>
        <w:t>2、</w:t>
      </w:r>
      <w:r>
        <w:rPr>
          <w:rFonts w:hint="eastAsia" w:ascii="仿宋_GB2312" w:hAnsi="仿宋_GB2312" w:eastAsia="仿宋_GB2312" w:cs="仿宋_GB2312"/>
          <w:b w:val="0"/>
          <w:bCs w:val="0"/>
          <w:color w:val="auto"/>
          <w:sz w:val="32"/>
          <w:szCs w:val="32"/>
          <w:u w:val="none"/>
          <w:lang w:val="en-US" w:eastAsia="zh-CN"/>
        </w:rPr>
        <w:t>现场笔录1份，询问笔录1份，证据提取单7份，证明当事人未定期检查并及时清理已超过</w:t>
      </w:r>
      <w:r>
        <w:rPr>
          <w:rFonts w:hint="eastAsia" w:eastAsia="仿宋_GB2312"/>
          <w:color w:val="auto"/>
          <w:sz w:val="32"/>
          <w:szCs w:val="32"/>
          <w:lang w:val="en-US" w:eastAsia="zh-CN"/>
        </w:rPr>
        <w:t>限用日期</w:t>
      </w:r>
      <w:r>
        <w:rPr>
          <w:rFonts w:hint="eastAsia" w:ascii="仿宋_GB2312" w:hAnsi="仿宋_GB2312" w:eastAsia="仿宋_GB2312" w:cs="仿宋_GB2312"/>
          <w:b w:val="0"/>
          <w:bCs w:val="0"/>
          <w:color w:val="auto"/>
          <w:sz w:val="32"/>
          <w:szCs w:val="32"/>
          <w:u w:val="none"/>
          <w:lang w:val="en-US" w:eastAsia="zh-CN"/>
        </w:rPr>
        <w:t>的上述化妆品的事实</w:t>
      </w:r>
      <w:r>
        <w:rPr>
          <w:rFonts w:hint="eastAsia" w:ascii="仿宋_GB2312" w:hAnsi="仿宋_GB2312" w:eastAsia="仿宋_GB2312" w:cs="仿宋_GB2312"/>
          <w:color w:val="auto"/>
          <w:sz w:val="32"/>
          <w:szCs w:val="32"/>
          <w:lang w:val="en-US" w:eastAsia="zh-CN"/>
        </w:rPr>
        <w:t>；</w:t>
      </w:r>
    </w:p>
    <w:p w14:paraId="31AA750F">
      <w:pPr>
        <w:pStyle w:val="6"/>
        <w:keepNext w:val="0"/>
        <w:keepLines w:val="0"/>
        <w:pageBreakBefore w:val="0"/>
        <w:kinsoku/>
        <w:wordWrap/>
        <w:overflowPunct/>
        <w:topLinePunct w:val="0"/>
        <w:bidi w:val="0"/>
        <w:snapToGrid/>
        <w:spacing w:line="440" w:lineRule="exact"/>
        <w:ind w:firstLine="640"/>
        <w:textAlignment w:val="auto"/>
        <w:rPr>
          <w:rFonts w:hint="default" w:ascii="仿宋_GB2312" w:hAnsi="仿宋_GB2312" w:eastAsia="仿宋_GB2312" w:cs="仿宋_GB2312"/>
          <w:b w:val="0"/>
          <w:bCs w:val="0"/>
          <w:color w:val="auto"/>
          <w:sz w:val="32"/>
          <w:szCs w:val="32"/>
          <w:u w:val="none"/>
          <w:lang w:val="en-US" w:eastAsia="zh-CN"/>
        </w:rPr>
      </w:pPr>
      <w:r>
        <w:rPr>
          <w:rFonts w:hint="eastAsia" w:hAnsi="仿宋_GB2312" w:cs="仿宋_GB2312"/>
          <w:b w:val="0"/>
          <w:bCs w:val="0"/>
          <w:color w:val="auto"/>
          <w:sz w:val="32"/>
          <w:szCs w:val="32"/>
          <w:u w:val="none"/>
          <w:lang w:val="en-US" w:eastAsia="zh-CN"/>
        </w:rPr>
        <w:t>3、整改报告1份，整改图片6张，</w:t>
      </w:r>
      <w:r>
        <w:rPr>
          <w:rFonts w:hint="eastAsia" w:hAnsi="仿宋_GB2312" w:cs="仿宋_GB2312"/>
          <w:bCs/>
          <w:color w:val="auto"/>
          <w:sz w:val="32"/>
          <w:szCs w:val="32"/>
          <w:lang w:val="en-US" w:eastAsia="zh-CN"/>
        </w:rPr>
        <w:t>证明当事人的整改情况。</w:t>
      </w:r>
    </w:p>
    <w:p w14:paraId="75231D7E">
      <w:pPr>
        <w:keepNext w:val="0"/>
        <w:keepLines w:val="0"/>
        <w:pageBreakBefore w:val="0"/>
        <w:kinsoku/>
        <w:wordWrap/>
        <w:overflowPunct/>
        <w:topLinePunct w:val="0"/>
        <w:bidi w:val="0"/>
        <w:snapToGrid/>
        <w:spacing w:line="440" w:lineRule="exact"/>
        <w:ind w:firstLine="640" w:firstLineChars="200"/>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以上证据均由经营者签名认可。</w:t>
      </w:r>
    </w:p>
    <w:p w14:paraId="6CC7A446">
      <w:pPr>
        <w:keepNext w:val="0"/>
        <w:keepLines w:val="0"/>
        <w:pageBreakBefore w:val="0"/>
        <w:kinsoku/>
        <w:wordWrap/>
        <w:overflowPunct/>
        <w:topLinePunct w:val="0"/>
        <w:bidi w:val="0"/>
        <w:snapToGrid/>
        <w:spacing w:line="440" w:lineRule="exact"/>
        <w:ind w:firstLine="640" w:firstLineChars="200"/>
        <w:rPr>
          <w:rFonts w:hint="eastAsia" w:ascii="仿宋_GB2312" w:hAnsi="仿宋_GB2312" w:eastAsia="仿宋_GB2312" w:cs="仿宋_GB2312"/>
          <w:b w:val="0"/>
          <w:bCs/>
          <w:color w:val="auto"/>
          <w:sz w:val="32"/>
          <w:szCs w:val="32"/>
          <w:u w:val="none" w:color="auto"/>
          <w:lang w:val="en-US" w:eastAsia="zh-CN"/>
        </w:rPr>
      </w:pPr>
      <w:r>
        <w:rPr>
          <w:rFonts w:hint="eastAsia" w:ascii="仿宋_GB2312" w:hAnsi="仿宋_GB2312" w:eastAsia="仿宋_GB2312" w:cs="仿宋_GB2312"/>
          <w:b w:val="0"/>
          <w:bCs/>
          <w:color w:val="auto"/>
          <w:sz w:val="32"/>
          <w:szCs w:val="32"/>
          <w:u w:val="none" w:color="auto"/>
          <w:lang w:val="en-US" w:eastAsia="zh-CN"/>
        </w:rPr>
        <w:t>2026年1月21日我局向当事人送达了《行政处罚告知书》（柳北市监罚告〔2026〕6号），告知当事人我局拟作出行政处罚的事实、理由、依据、处罚内容及享有的权利。当事人在法定期限内未提出陈述、申辩。</w:t>
      </w:r>
    </w:p>
    <w:p w14:paraId="7D9155B9">
      <w:pPr>
        <w:keepNext w:val="0"/>
        <w:keepLines w:val="0"/>
        <w:pageBreakBefore w:val="0"/>
        <w:kinsoku/>
        <w:wordWrap/>
        <w:overflowPunct/>
        <w:topLinePunct w:val="0"/>
        <w:bidi w:val="0"/>
        <w:snapToGrid/>
        <w:spacing w:line="44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i w:val="0"/>
          <w:caps w:val="0"/>
          <w:color w:val="auto"/>
          <w:spacing w:val="0"/>
          <w:sz w:val="32"/>
          <w:szCs w:val="32"/>
          <w:shd w:val="clear" w:fill="FFFFFF"/>
          <w:lang w:val="en-US" w:eastAsia="zh-CN"/>
        </w:rPr>
        <w:t>当事人将上述超过</w:t>
      </w:r>
      <w:r>
        <w:rPr>
          <w:rFonts w:hint="eastAsia" w:eastAsia="仿宋_GB2312"/>
          <w:color w:val="auto"/>
          <w:sz w:val="32"/>
          <w:szCs w:val="32"/>
          <w:lang w:val="en-US" w:eastAsia="zh-CN"/>
        </w:rPr>
        <w:t>限用日期</w:t>
      </w:r>
      <w:r>
        <w:rPr>
          <w:rFonts w:hint="eastAsia" w:ascii="仿宋_GB2312" w:hAnsi="仿宋_GB2312" w:eastAsia="仿宋_GB2312" w:cs="仿宋_GB2312"/>
          <w:i w:val="0"/>
          <w:caps w:val="0"/>
          <w:color w:val="auto"/>
          <w:spacing w:val="0"/>
          <w:sz w:val="32"/>
          <w:szCs w:val="32"/>
          <w:shd w:val="clear" w:fill="FFFFFF"/>
          <w:lang w:val="en-US" w:eastAsia="zh-CN"/>
        </w:rPr>
        <w:t>的化妆品与正在经营使用的化妆品混放的行为</w:t>
      </w:r>
      <w:r>
        <w:rPr>
          <w:rFonts w:hint="eastAsia" w:ascii="仿宋_GB2312" w:hAnsi="仿宋_GB2312" w:eastAsia="仿宋_GB2312" w:cs="仿宋_GB2312"/>
          <w:b w:val="0"/>
          <w:bCs w:val="0"/>
          <w:color w:val="auto"/>
          <w:sz w:val="32"/>
          <w:szCs w:val="32"/>
          <w:u w:val="none"/>
          <w:lang w:val="en-US" w:eastAsia="zh-CN"/>
        </w:rPr>
        <w:t>，违反了</w:t>
      </w:r>
      <w:r>
        <w:rPr>
          <w:rFonts w:hint="eastAsia" w:ascii="仿宋_GB2312" w:hAnsi="仿宋_GB2312" w:eastAsia="仿宋_GB2312" w:cs="仿宋_GB2312"/>
          <w:color w:val="auto"/>
          <w:sz w:val="32"/>
          <w:szCs w:val="32"/>
          <w:lang w:eastAsia="zh-CN"/>
        </w:rPr>
        <w:t>《化妆品监督管理条例》</w:t>
      </w:r>
      <w:r>
        <w:rPr>
          <w:rFonts w:hint="eastAsia" w:ascii="仿宋_GB2312" w:hAnsi="仿宋_GB2312" w:eastAsia="仿宋_GB2312" w:cs="仿宋_GB2312"/>
          <w:i w:val="0"/>
          <w:caps w:val="0"/>
          <w:color w:val="auto"/>
          <w:spacing w:val="0"/>
          <w:sz w:val="32"/>
          <w:szCs w:val="32"/>
          <w:shd w:val="clear" w:fill="FFFFFF"/>
          <w:lang w:val="en-US" w:eastAsia="zh-CN"/>
        </w:rPr>
        <w:t>第三十九条的规定，属于</w:t>
      </w:r>
      <w:r>
        <w:rPr>
          <w:rFonts w:hint="eastAsia" w:eastAsia="仿宋_GB2312"/>
          <w:color w:val="auto"/>
          <w:sz w:val="32"/>
          <w:szCs w:val="32"/>
          <w:lang w:val="en-US" w:eastAsia="zh-CN"/>
        </w:rPr>
        <w:t>未按规定定期检查并及时处理超过使用期限的化妆品</w:t>
      </w:r>
      <w:r>
        <w:rPr>
          <w:rFonts w:hint="eastAsia" w:ascii="仿宋_GB2312" w:hAnsi="仿宋_GB2312" w:eastAsia="仿宋_GB2312" w:cs="仿宋_GB2312"/>
          <w:bCs/>
          <w:color w:val="auto"/>
          <w:sz w:val="32"/>
          <w:szCs w:val="32"/>
          <w:lang w:eastAsia="zh-CN"/>
        </w:rPr>
        <w:t>的行为。</w:t>
      </w:r>
    </w:p>
    <w:p w14:paraId="120C3858">
      <w:pPr>
        <w:keepNext w:val="0"/>
        <w:keepLines w:val="0"/>
        <w:pageBreakBefore w:val="0"/>
        <w:kinsoku/>
        <w:wordWrap/>
        <w:overflowPunct/>
        <w:topLinePunct w:val="0"/>
        <w:bidi w:val="0"/>
        <w:snapToGrid/>
        <w:spacing w:line="44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在案件调查过程中，当事人积极主动改正违法行为，对店内产品仔细盘查，主动销毁已</w:t>
      </w:r>
      <w:r>
        <w:rPr>
          <w:rFonts w:hint="eastAsia" w:ascii="仿宋_GB2312" w:hAnsi="仿宋_GB2312" w:eastAsia="仿宋_GB2312" w:cs="仿宋_GB2312"/>
          <w:i w:val="0"/>
          <w:caps w:val="0"/>
          <w:color w:val="auto"/>
          <w:spacing w:val="0"/>
          <w:sz w:val="32"/>
          <w:szCs w:val="32"/>
          <w:shd w:val="clear" w:fill="FFFFFF"/>
          <w:lang w:val="en-US" w:eastAsia="zh-CN"/>
        </w:rPr>
        <w:t>超过限用日期的上述化妆品，</w:t>
      </w:r>
      <w:r>
        <w:rPr>
          <w:rFonts w:hint="eastAsia" w:ascii="仿宋_GB2312" w:hAnsi="仿宋_GB2312" w:eastAsia="仿宋_GB2312" w:cs="仿宋_GB2312"/>
          <w:bCs/>
          <w:color w:val="auto"/>
          <w:sz w:val="32"/>
          <w:szCs w:val="32"/>
          <w:lang w:val="en-US" w:eastAsia="zh-CN"/>
        </w:rPr>
        <w:t>主动</w:t>
      </w:r>
      <w:r>
        <w:rPr>
          <w:rFonts w:hint="eastAsia" w:ascii="仿宋_GB2312" w:hAnsi="仿宋_GB2312" w:eastAsia="仿宋_GB2312" w:cs="仿宋_GB2312"/>
          <w:bCs/>
          <w:strike w:val="0"/>
          <w:dstrike w:val="0"/>
          <w:color w:val="auto"/>
          <w:sz w:val="32"/>
          <w:szCs w:val="32"/>
          <w:lang w:val="en-US" w:eastAsia="zh-CN"/>
        </w:rPr>
        <w:t>减轻</w:t>
      </w:r>
      <w:r>
        <w:rPr>
          <w:rFonts w:hint="eastAsia" w:ascii="仿宋_GB2312" w:hAnsi="仿宋_GB2312" w:eastAsia="仿宋_GB2312" w:cs="仿宋_GB2312"/>
          <w:bCs/>
          <w:color w:val="auto"/>
          <w:sz w:val="32"/>
          <w:szCs w:val="32"/>
          <w:lang w:val="en-US" w:eastAsia="zh-CN"/>
        </w:rPr>
        <w:t>违法行为的危害后果，</w:t>
      </w:r>
      <w:r>
        <w:rPr>
          <w:rFonts w:hint="eastAsia" w:ascii="仿宋_GB2312" w:hAnsi="仿宋_GB2312" w:eastAsia="仿宋_GB2312" w:cs="仿宋_GB2312"/>
          <w:color w:val="auto"/>
          <w:sz w:val="32"/>
          <w:szCs w:val="32"/>
        </w:rPr>
        <w:t>具有市场监管总局《关于规范市场监督管理行政处罚裁量权的指导意见》第十三条第一款第二项规定的依法从轻或者减轻行政处罚的情形。</w:t>
      </w:r>
      <w:r>
        <w:rPr>
          <w:rFonts w:hint="eastAsia" w:ascii="仿宋_GB2312" w:hAnsi="仿宋_GB2312" w:eastAsia="仿宋_GB2312" w:cs="仿宋_GB2312"/>
          <w:bCs/>
          <w:color w:val="auto"/>
          <w:sz w:val="32"/>
          <w:szCs w:val="32"/>
          <w:lang w:val="en-US" w:eastAsia="zh-CN"/>
        </w:rPr>
        <w:t>依据《中华人民共和国行政处罚法》第五条、第六条、第三十二条第一款第一项的规定，我局决定对当事人减轻处罚。</w:t>
      </w:r>
    </w:p>
    <w:p w14:paraId="382D5A3A">
      <w:pPr>
        <w:keepNext w:val="0"/>
        <w:keepLines w:val="0"/>
        <w:pageBreakBefore w:val="0"/>
        <w:kinsoku/>
        <w:wordWrap/>
        <w:overflowPunct/>
        <w:topLinePunct w:val="0"/>
        <w:bidi w:val="0"/>
        <w:snapToGrid/>
        <w:spacing w:line="44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依据《化妆品监督管理条例》第四十二条、第六十二条第一款第四项的规定，我局决定责令当事人改正上述违法行为，给予当事人警告并罚款</w:t>
      </w:r>
      <w:bookmarkStart w:id="2" w:name="OLE_LINK1"/>
      <w:r>
        <w:rPr>
          <w:rFonts w:hint="eastAsia" w:ascii="仿宋_GB2312" w:hAnsi="仿宋_GB2312" w:eastAsia="仿宋_GB2312" w:cs="仿宋_GB2312"/>
          <w:strike w:val="0"/>
          <w:dstrike w:val="0"/>
          <w:color w:val="auto"/>
          <w:sz w:val="32"/>
          <w:szCs w:val="32"/>
          <w:highlight w:val="none"/>
          <w:lang w:val="en-US" w:eastAsia="zh-CN"/>
        </w:rPr>
        <w:t>2000</w:t>
      </w:r>
      <w:bookmarkEnd w:id="2"/>
      <w:r>
        <w:rPr>
          <w:rFonts w:hint="eastAsia" w:ascii="仿宋_GB2312" w:hAnsi="仿宋_GB2312" w:eastAsia="仿宋_GB2312" w:cs="仿宋_GB2312"/>
          <w:color w:val="auto"/>
          <w:sz w:val="32"/>
          <w:szCs w:val="32"/>
          <w:highlight w:val="none"/>
          <w:lang w:val="en-US" w:eastAsia="zh-CN"/>
        </w:rPr>
        <w:t>元的</w:t>
      </w:r>
      <w:r>
        <w:rPr>
          <w:rFonts w:hint="eastAsia" w:ascii="仿宋_GB2312" w:hAnsi="仿宋_GB2312" w:eastAsia="仿宋_GB2312" w:cs="仿宋_GB2312"/>
          <w:color w:val="auto"/>
          <w:sz w:val="32"/>
          <w:szCs w:val="32"/>
          <w:lang w:val="en-US" w:eastAsia="zh-CN"/>
        </w:rPr>
        <w:t>行政处罚。</w:t>
      </w:r>
    </w:p>
    <w:p w14:paraId="67F08DC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none"/>
        </w:rPr>
        <w:t>当事人应当自收到本行政处罚决定书之日起十五日内，凭《广西壮族自治区非税收入电子缴款通知书》到中国建设银行缴纳罚款。</w:t>
      </w:r>
      <w:r>
        <w:rPr>
          <w:rFonts w:hint="eastAsia" w:ascii="仿宋_GB2312" w:hAnsi="仿宋_GB2312" w:eastAsia="仿宋_GB2312" w:cs="仿宋_GB2312"/>
          <w:color w:val="auto"/>
          <w:sz w:val="32"/>
          <w:szCs w:val="32"/>
          <w:u w:val="none"/>
          <w:lang w:eastAsia="zh-CN"/>
        </w:rPr>
        <w:t>逾</w:t>
      </w:r>
      <w:r>
        <w:rPr>
          <w:rFonts w:hint="eastAsia" w:ascii="仿宋_GB2312" w:hAnsi="仿宋_GB2312" w:eastAsia="仿宋_GB2312" w:cs="仿宋_GB2312"/>
          <w:color w:val="auto"/>
          <w:sz w:val="32"/>
          <w:szCs w:val="32"/>
          <w:u w:val="none"/>
        </w:rPr>
        <w:t>期不缴纳罚款的，依据《中华人民共和国行政处罚法》</w:t>
      </w:r>
      <w:r>
        <w:rPr>
          <w:rFonts w:hint="eastAsia" w:ascii="仿宋_GB2312" w:hAnsi="仿宋_GB2312" w:eastAsia="仿宋_GB2312" w:cs="仿宋_GB2312"/>
          <w:color w:val="auto"/>
          <w:kern w:val="0"/>
          <w:sz w:val="32"/>
          <w:szCs w:val="32"/>
          <w:u w:val="none"/>
          <w:lang w:val="en-US" w:eastAsia="zh-CN" w:bidi="ar"/>
        </w:rPr>
        <w:t>第七十二条</w:t>
      </w:r>
      <w:r>
        <w:rPr>
          <w:rFonts w:hint="eastAsia" w:ascii="仿宋_GB2312" w:hAnsi="仿宋_GB2312" w:eastAsia="仿宋_GB2312" w:cs="仿宋_GB2312"/>
          <w:color w:val="auto"/>
          <w:sz w:val="32"/>
          <w:szCs w:val="32"/>
          <w:u w:val="none"/>
        </w:rPr>
        <w:t>的规定，我局将每日按罚款数额的百分之三加处罚款，并依法申请人民法院强制执行。</w:t>
      </w:r>
    </w:p>
    <w:p w14:paraId="47F3043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40" w:firstLineChars="200"/>
        <w:jc w:val="both"/>
        <w:textAlignment w:val="auto"/>
        <w:outlineLvl w:val="9"/>
        <w:rPr>
          <w:rFonts w:hint="eastAsia" w:ascii="仿宋_GB2312" w:hAnsi="仿宋_GB2312" w:eastAsia="仿宋_GB2312" w:cs="仿宋_GB2312"/>
          <w:bCs/>
          <w:color w:val="auto"/>
          <w:sz w:val="32"/>
          <w:szCs w:val="32"/>
          <w:u w:val="none"/>
          <w:lang w:val="en-US" w:eastAsia="zh-CN"/>
        </w:rPr>
      </w:pPr>
      <w:r>
        <w:rPr>
          <w:rFonts w:hint="eastAsia" w:ascii="仿宋_GB2312" w:hAnsi="仿宋_GB2312" w:eastAsia="仿宋_GB2312" w:cs="仿宋_GB2312"/>
          <w:color w:val="auto"/>
          <w:sz w:val="32"/>
          <w:szCs w:val="32"/>
        </w:rPr>
        <w:t>当事人如不服本行政处罚决定，可以在接到本行政处罚决定书之日起六十日内向柳州市柳北区人民政府申请行政复议；也可以在六个月内依法向柳州市柳南区人民法院提起行政诉讼。</w:t>
      </w:r>
      <w:r>
        <w:rPr>
          <w:rFonts w:hint="eastAsia" w:ascii="仿宋_GB2312" w:hAnsi="仿宋_GB2312" w:eastAsia="仿宋_GB2312" w:cs="仿宋_GB2312"/>
          <w:bCs/>
          <w:color w:val="auto"/>
          <w:sz w:val="32"/>
          <w:szCs w:val="32"/>
          <w:u w:val="none"/>
          <w:lang w:val="en-US" w:eastAsia="zh-CN"/>
        </w:rPr>
        <w:t>申请行政复议或者提起行政诉讼期间，行政处罚不停止执行。</w:t>
      </w:r>
    </w:p>
    <w:p w14:paraId="5177CC80">
      <w:pPr>
        <w:keepNext w:val="0"/>
        <w:keepLines w:val="0"/>
        <w:pageBreakBefore w:val="0"/>
        <w:widowControl w:val="0"/>
        <w:kinsoku/>
        <w:wordWrap/>
        <w:overflowPunct/>
        <w:topLinePunct w:val="0"/>
        <w:autoSpaceDE/>
        <w:autoSpaceDN/>
        <w:bidi w:val="0"/>
        <w:snapToGrid/>
        <w:spacing w:line="440" w:lineRule="exact"/>
        <w:jc w:val="both"/>
        <w:rPr>
          <w:rFonts w:hint="eastAsia" w:ascii="仿宋_GB2312" w:hAnsi="仿宋_GB2312" w:eastAsia="仿宋_GB2312" w:cs="仿宋_GB2312"/>
          <w:color w:val="auto"/>
          <w:sz w:val="32"/>
          <w:szCs w:val="32"/>
        </w:rPr>
      </w:pPr>
    </w:p>
    <w:p w14:paraId="43660C5E">
      <w:pPr>
        <w:keepNext w:val="0"/>
        <w:keepLines w:val="0"/>
        <w:pageBreakBefore w:val="0"/>
        <w:widowControl w:val="0"/>
        <w:kinsoku/>
        <w:wordWrap/>
        <w:overflowPunct/>
        <w:topLinePunct w:val="0"/>
        <w:autoSpaceDE/>
        <w:autoSpaceDN/>
        <w:bidi w:val="0"/>
        <w:snapToGrid/>
        <w:spacing w:line="440" w:lineRule="exact"/>
        <w:ind w:left="0" w:leftChars="0" w:firstLine="640" w:firstLineChars="200"/>
        <w:jc w:val="righ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柳州市柳北区市场监督管理局</w:t>
      </w:r>
    </w:p>
    <w:p w14:paraId="79B2B2F9">
      <w:pPr>
        <w:keepNext w:val="0"/>
        <w:keepLines w:val="0"/>
        <w:pageBreakBefore w:val="0"/>
        <w:widowControl w:val="0"/>
        <w:kinsoku/>
        <w:wordWrap/>
        <w:overflowPunct/>
        <w:topLinePunct w:val="0"/>
        <w:autoSpaceDE/>
        <w:autoSpaceDN/>
        <w:bidi w:val="0"/>
        <w:snapToGrid/>
        <w:spacing w:line="44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29</w:t>
      </w:r>
      <w:r>
        <w:rPr>
          <w:rFonts w:hint="eastAsia" w:ascii="仿宋_GB2312" w:hAnsi="仿宋_GB2312" w:eastAsia="仿宋_GB2312" w:cs="仿宋_GB2312"/>
          <w:color w:val="auto"/>
          <w:sz w:val="32"/>
          <w:szCs w:val="32"/>
        </w:rPr>
        <w:t>日</w:t>
      </w:r>
    </w:p>
    <w:p w14:paraId="08C9AA25">
      <w:pPr>
        <w:keepNext w:val="0"/>
        <w:keepLines w:val="0"/>
        <w:pageBreakBefore w:val="0"/>
        <w:widowControl w:val="0"/>
        <w:kinsoku/>
        <w:wordWrap/>
        <w:overflowPunct/>
        <w:topLinePunct w:val="0"/>
        <w:autoSpaceDE/>
        <w:autoSpaceDN/>
        <w:bidi w:val="0"/>
        <w:adjustRightInd/>
        <w:snapToGrid/>
        <w:spacing w:line="480" w:lineRule="exact"/>
        <w:ind w:left="0" w:leftChars="0" w:right="-105" w:rightChars="-50"/>
        <w:jc w:val="both"/>
        <w:textAlignment w:val="auto"/>
        <w:outlineLvl w:val="9"/>
        <w:rPr>
          <w:rFonts w:hint="eastAsia" w:ascii="黑体" w:hAnsi="黑体" w:eastAsia="黑体" w:cs="黑体"/>
          <w:b w:val="0"/>
          <w:bCs w:val="0"/>
          <w:color w:val="auto"/>
          <w:w w:val="98"/>
          <w:sz w:val="32"/>
          <w:szCs w:val="32"/>
          <w:lang w:eastAsia="zh-CN"/>
        </w:rPr>
      </w:pPr>
    </w:p>
    <w:p w14:paraId="4390464C">
      <w:pPr>
        <w:keepNext w:val="0"/>
        <w:keepLines w:val="0"/>
        <w:pageBreakBefore w:val="0"/>
        <w:widowControl w:val="0"/>
        <w:kinsoku/>
        <w:wordWrap/>
        <w:overflowPunct/>
        <w:topLinePunct w:val="0"/>
        <w:autoSpaceDE/>
        <w:autoSpaceDN/>
        <w:bidi w:val="0"/>
        <w:adjustRightInd/>
        <w:snapToGrid/>
        <w:spacing w:line="480" w:lineRule="exact"/>
        <w:ind w:left="0" w:leftChars="0" w:right="-105" w:rightChars="-50"/>
        <w:jc w:val="both"/>
        <w:textAlignment w:val="auto"/>
        <w:outlineLvl w:val="9"/>
        <w:rPr>
          <w:rFonts w:hint="eastAsia" w:ascii="黑体" w:hAnsi="黑体" w:eastAsia="黑体" w:cs="黑体"/>
          <w:b w:val="0"/>
          <w:bCs w:val="0"/>
          <w:color w:val="auto"/>
          <w:w w:val="98"/>
          <w:sz w:val="32"/>
          <w:szCs w:val="32"/>
          <w:lang w:eastAsia="zh-CN"/>
        </w:rPr>
      </w:pPr>
    </w:p>
    <w:p w14:paraId="485DC40F">
      <w:pPr>
        <w:keepNext w:val="0"/>
        <w:keepLines w:val="0"/>
        <w:pageBreakBefore w:val="0"/>
        <w:widowControl w:val="0"/>
        <w:kinsoku/>
        <w:wordWrap/>
        <w:overflowPunct/>
        <w:topLinePunct w:val="0"/>
        <w:autoSpaceDE/>
        <w:autoSpaceDN/>
        <w:bidi w:val="0"/>
        <w:adjustRightInd/>
        <w:snapToGrid/>
        <w:spacing w:line="480" w:lineRule="exact"/>
        <w:ind w:left="0" w:leftChars="0" w:right="-105" w:rightChars="-50"/>
        <w:jc w:val="both"/>
        <w:textAlignment w:val="auto"/>
        <w:outlineLvl w:val="9"/>
        <w:rPr>
          <w:rFonts w:hint="eastAsia" w:ascii="黑体" w:hAnsi="黑体" w:eastAsia="黑体" w:cs="黑体"/>
          <w:b w:val="0"/>
          <w:bCs w:val="0"/>
          <w:color w:val="auto"/>
          <w:w w:val="98"/>
          <w:sz w:val="32"/>
          <w:szCs w:val="32"/>
          <w:lang w:eastAsia="zh-CN"/>
        </w:rPr>
      </w:pPr>
    </w:p>
    <w:p w14:paraId="030742AF">
      <w:pPr>
        <w:keepNext w:val="0"/>
        <w:keepLines w:val="0"/>
        <w:pageBreakBefore w:val="0"/>
        <w:widowControl w:val="0"/>
        <w:kinsoku/>
        <w:wordWrap/>
        <w:overflowPunct/>
        <w:topLinePunct w:val="0"/>
        <w:autoSpaceDE/>
        <w:autoSpaceDN/>
        <w:bidi w:val="0"/>
        <w:adjustRightInd/>
        <w:snapToGrid/>
        <w:spacing w:line="480" w:lineRule="exact"/>
        <w:ind w:left="0" w:leftChars="0" w:right="-105" w:rightChars="-50"/>
        <w:jc w:val="both"/>
        <w:textAlignment w:val="auto"/>
        <w:outlineLvl w:val="9"/>
        <w:rPr>
          <w:rFonts w:hint="eastAsia" w:ascii="黑体" w:hAnsi="黑体" w:eastAsia="黑体" w:cs="黑体"/>
          <w:b w:val="0"/>
          <w:bCs w:val="0"/>
          <w:color w:val="auto"/>
          <w:w w:val="98"/>
          <w:sz w:val="32"/>
          <w:szCs w:val="32"/>
          <w:lang w:eastAsia="zh-CN"/>
        </w:rPr>
      </w:pPr>
    </w:p>
    <w:p w14:paraId="0718A150">
      <w:pPr>
        <w:keepNext w:val="0"/>
        <w:keepLines w:val="0"/>
        <w:pageBreakBefore w:val="0"/>
        <w:widowControl w:val="0"/>
        <w:kinsoku/>
        <w:wordWrap/>
        <w:overflowPunct/>
        <w:topLinePunct w:val="0"/>
        <w:autoSpaceDE/>
        <w:autoSpaceDN/>
        <w:bidi w:val="0"/>
        <w:adjustRightInd/>
        <w:snapToGrid/>
        <w:spacing w:line="480" w:lineRule="exact"/>
        <w:ind w:left="0" w:leftChars="0" w:right="-105" w:rightChars="-50"/>
        <w:jc w:val="both"/>
        <w:textAlignment w:val="auto"/>
        <w:outlineLvl w:val="9"/>
        <w:rPr>
          <w:rFonts w:hint="eastAsia" w:ascii="黑体" w:hAnsi="黑体" w:eastAsia="黑体" w:cs="黑体"/>
          <w:b w:val="0"/>
          <w:bCs w:val="0"/>
          <w:color w:val="auto"/>
          <w:w w:val="98"/>
          <w:sz w:val="32"/>
          <w:szCs w:val="32"/>
          <w:lang w:eastAsia="zh-CN"/>
        </w:rPr>
      </w:pPr>
    </w:p>
    <w:p w14:paraId="20E8B9B4">
      <w:pPr>
        <w:keepNext w:val="0"/>
        <w:keepLines w:val="0"/>
        <w:pageBreakBefore w:val="0"/>
        <w:widowControl w:val="0"/>
        <w:kinsoku/>
        <w:wordWrap/>
        <w:overflowPunct/>
        <w:topLinePunct w:val="0"/>
        <w:autoSpaceDE/>
        <w:autoSpaceDN/>
        <w:bidi w:val="0"/>
        <w:adjustRightInd/>
        <w:snapToGrid/>
        <w:spacing w:line="480" w:lineRule="exact"/>
        <w:ind w:left="0" w:leftChars="0" w:right="-105" w:rightChars="-50"/>
        <w:jc w:val="both"/>
        <w:textAlignment w:val="auto"/>
        <w:outlineLvl w:val="9"/>
        <w:rPr>
          <w:rFonts w:hint="eastAsia" w:ascii="黑体" w:hAnsi="黑体" w:eastAsia="黑体" w:cs="黑体"/>
          <w:b w:val="0"/>
          <w:bCs w:val="0"/>
          <w:color w:val="auto"/>
          <w:w w:val="98"/>
          <w:sz w:val="32"/>
          <w:szCs w:val="32"/>
          <w:lang w:eastAsia="zh-CN"/>
        </w:rPr>
      </w:pPr>
    </w:p>
    <w:p w14:paraId="703C356A">
      <w:pPr>
        <w:keepNext w:val="0"/>
        <w:keepLines w:val="0"/>
        <w:pageBreakBefore w:val="0"/>
        <w:widowControl w:val="0"/>
        <w:kinsoku/>
        <w:wordWrap/>
        <w:overflowPunct/>
        <w:topLinePunct w:val="0"/>
        <w:autoSpaceDE/>
        <w:autoSpaceDN/>
        <w:bidi w:val="0"/>
        <w:adjustRightInd/>
        <w:snapToGrid/>
        <w:spacing w:line="480" w:lineRule="exact"/>
        <w:ind w:left="0" w:leftChars="0" w:right="-105" w:rightChars="-50"/>
        <w:jc w:val="both"/>
        <w:textAlignment w:val="auto"/>
        <w:outlineLvl w:val="9"/>
        <w:rPr>
          <w:rFonts w:hint="eastAsia" w:ascii="黑体" w:hAnsi="黑体" w:eastAsia="黑体" w:cs="黑体"/>
          <w:b w:val="0"/>
          <w:bCs w:val="0"/>
          <w:color w:val="auto"/>
          <w:w w:val="98"/>
          <w:sz w:val="32"/>
          <w:szCs w:val="32"/>
          <w:lang w:eastAsia="zh-CN"/>
        </w:rPr>
      </w:pPr>
    </w:p>
    <w:p w14:paraId="20EF7DA6">
      <w:pPr>
        <w:keepNext w:val="0"/>
        <w:keepLines w:val="0"/>
        <w:pageBreakBefore w:val="0"/>
        <w:widowControl w:val="0"/>
        <w:kinsoku/>
        <w:wordWrap/>
        <w:overflowPunct/>
        <w:topLinePunct w:val="0"/>
        <w:autoSpaceDE/>
        <w:autoSpaceDN/>
        <w:bidi w:val="0"/>
        <w:adjustRightInd/>
        <w:snapToGrid/>
        <w:spacing w:line="480" w:lineRule="exact"/>
        <w:ind w:left="0" w:leftChars="0" w:right="-105" w:rightChars="-50"/>
        <w:jc w:val="both"/>
        <w:textAlignment w:val="auto"/>
        <w:outlineLvl w:val="9"/>
        <w:rPr>
          <w:rFonts w:hint="eastAsia" w:ascii="黑体" w:hAnsi="黑体" w:eastAsia="黑体" w:cs="黑体"/>
          <w:b w:val="0"/>
          <w:bCs w:val="0"/>
          <w:color w:val="auto"/>
          <w:w w:val="98"/>
          <w:sz w:val="32"/>
          <w:szCs w:val="32"/>
          <w:lang w:eastAsia="zh-CN"/>
        </w:rPr>
      </w:pPr>
    </w:p>
    <w:p w14:paraId="3BD8A6C6">
      <w:pPr>
        <w:keepNext w:val="0"/>
        <w:keepLines w:val="0"/>
        <w:pageBreakBefore w:val="0"/>
        <w:widowControl w:val="0"/>
        <w:kinsoku/>
        <w:wordWrap/>
        <w:overflowPunct/>
        <w:topLinePunct w:val="0"/>
        <w:autoSpaceDE/>
        <w:autoSpaceDN/>
        <w:bidi w:val="0"/>
        <w:adjustRightInd/>
        <w:snapToGrid/>
        <w:spacing w:line="480" w:lineRule="exact"/>
        <w:ind w:left="0" w:leftChars="0" w:right="-105" w:rightChars="-50"/>
        <w:jc w:val="both"/>
        <w:textAlignment w:val="auto"/>
        <w:outlineLvl w:val="9"/>
        <w:rPr>
          <w:rFonts w:hint="eastAsia" w:ascii="黑体" w:hAnsi="黑体" w:eastAsia="黑体" w:cs="黑体"/>
          <w:b w:val="0"/>
          <w:bCs w:val="0"/>
          <w:color w:val="auto"/>
          <w:w w:val="98"/>
          <w:sz w:val="32"/>
          <w:szCs w:val="32"/>
          <w:lang w:eastAsia="zh-CN"/>
        </w:rPr>
      </w:pPr>
    </w:p>
    <w:p w14:paraId="07F33986">
      <w:pPr>
        <w:keepNext w:val="0"/>
        <w:keepLines w:val="0"/>
        <w:pageBreakBefore w:val="0"/>
        <w:widowControl w:val="0"/>
        <w:kinsoku/>
        <w:wordWrap/>
        <w:overflowPunct/>
        <w:topLinePunct w:val="0"/>
        <w:autoSpaceDE/>
        <w:autoSpaceDN/>
        <w:bidi w:val="0"/>
        <w:adjustRightInd/>
        <w:snapToGrid/>
        <w:spacing w:line="480" w:lineRule="exact"/>
        <w:ind w:left="0" w:leftChars="0" w:right="-105" w:rightChars="-5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b w:val="0"/>
          <w:bCs w:val="0"/>
          <w:color w:val="auto"/>
          <w:w w:val="98"/>
          <w:sz w:val="32"/>
          <w:szCs w:val="32"/>
          <w:lang w:eastAsia="zh-CN"/>
        </w:rPr>
        <w:t>（市场监督管理部门将依法向社会公开行政处罚决定信息）</w:t>
      </w:r>
    </w:p>
    <w:p w14:paraId="1FCCA8EF">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pPr>
      <w:r>
        <w:rPr>
          <w:color w:val="auto"/>
          <w:sz w:val="32"/>
        </w:rPr>
        <mc:AlternateContent>
          <mc:Choice Requires="wps">
            <w:drawing>
              <wp:anchor distT="0" distB="0" distL="114300" distR="114300" simplePos="0" relativeHeight="251660288" behindDoc="0" locked="0" layoutInCell="1" allowOverlap="1">
                <wp:simplePos x="0" y="0"/>
                <wp:positionH relativeFrom="column">
                  <wp:posOffset>13970</wp:posOffset>
                </wp:positionH>
                <wp:positionV relativeFrom="paragraph">
                  <wp:posOffset>75565</wp:posOffset>
                </wp:positionV>
                <wp:extent cx="550545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0545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1pt;margin-top:5.95pt;height:0.05pt;width:433.5pt;z-index:251660288;mso-width-relative:page;mso-height-relative:page;" filled="f" stroked="t" coordsize="21600,21600" o:gfxdata="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P8A8otMAAAAHAQAADwAAAAAAAAABACAAAAAiAAAAZHJzL2Rvd25yZXYueG1sUEsB&#10;AhQAFAAAAAgAh07iQLHg5wT6AQAA9AMAAA4AAAAAAAAAAQAgAAAAIgEAAGRycy9lMm9Eb2MueG1s&#10;UEsFBgAAAAAGAAYAWQEAAI4FAAAAAA==&#10;">
                <v:fill on="f" focussize="0,0"/>
                <v:stroke color="#000000" joinstyle="round"/>
                <v:imagedata o:title=""/>
                <o:lock v:ext="edit" aspectratio="f"/>
              </v:line>
            </w:pict>
          </mc:Fallback>
        </mc:AlternateContent>
      </w:r>
      <w:r>
        <w:rPr>
          <w:rFonts w:hint="eastAsia" w:ascii="仿宋_GB2312" w:hAnsi="仿宋_GB2312" w:eastAsia="仿宋_GB2312" w:cs="仿宋_GB2312"/>
          <w:color w:val="auto"/>
          <w:sz w:val="32"/>
          <w:szCs w:val="32"/>
          <w:lang w:eastAsia="zh-CN"/>
        </w:rPr>
        <w:t>本文书一式三份，一份送达，一</w:t>
      </w:r>
      <w:r>
        <w:rPr>
          <w:rFonts w:hint="eastAsia" w:ascii="仿宋_GB2312" w:hAnsi="仿宋_GB2312" w:eastAsia="仿宋_GB2312" w:cs="仿宋_GB2312"/>
          <w:color w:val="000000" w:themeColor="text1"/>
          <w:sz w:val="32"/>
          <w:szCs w:val="32"/>
          <w:lang w:eastAsia="zh-CN"/>
          <w14:textFill>
            <w14:solidFill>
              <w14:schemeClr w14:val="tx1"/>
            </w14:solidFill>
          </w14:textFill>
        </w:rPr>
        <w:t>份归档</w:t>
      </w:r>
      <w:r>
        <w:rPr>
          <w:rFonts w:hint="eastAsia" w:ascii="仿宋_GB2312" w:hAnsi="仿宋_GB2312" w:eastAsia="仿宋_GB2312" w:cs="仿宋_GB2312"/>
          <w:color w:val="000000" w:themeColor="text1"/>
          <w:sz w:val="32"/>
          <w:szCs w:val="32"/>
          <w14:textFill>
            <w14:solidFill>
              <w14:schemeClr w14:val="tx1"/>
            </w14:solidFill>
          </w14:textFill>
        </w:rPr>
        <w:t>，一份</w:t>
      </w:r>
      <w:r>
        <w:rPr>
          <w:rFonts w:hint="eastAsia" w:ascii="仿宋_GB2312" w:hAnsi="仿宋_GB2312" w:eastAsia="仿宋_GB2312" w:cs="仿宋_GB2312"/>
          <w:color w:val="000000" w:themeColor="text1"/>
          <w:sz w:val="32"/>
          <w:szCs w:val="32"/>
          <w:lang w:eastAsia="zh-CN"/>
          <w14:textFill>
            <w14:solidFill>
              <w14:schemeClr w14:val="tx1"/>
            </w14:solidFill>
          </w14:textFill>
        </w:rPr>
        <w:t>办案机构</w:t>
      </w:r>
      <w:r>
        <w:rPr>
          <w:rFonts w:hint="eastAsia" w:ascii="仿宋_GB2312" w:hAnsi="仿宋_GB2312" w:eastAsia="仿宋_GB2312" w:cs="仿宋_GB2312"/>
          <w:color w:val="000000" w:themeColor="text1"/>
          <w:sz w:val="32"/>
          <w:szCs w:val="32"/>
          <w14:textFill>
            <w14:solidFill>
              <w14:schemeClr w14:val="tx1"/>
            </w14:solidFill>
          </w14:textFill>
        </w:rPr>
        <w:t>留存</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2A6A9D86">
      <w:pPr>
        <w:keepNext w:val="0"/>
        <w:keepLines w:val="0"/>
        <w:pageBreakBefore w:val="0"/>
        <w:kinsoku/>
        <w:wordWrap/>
        <w:overflowPunct/>
        <w:topLinePunct w:val="0"/>
        <w:bidi w:val="0"/>
        <w:snapToGrid/>
        <w:spacing w:line="400" w:lineRule="exact"/>
        <w:ind w:firstLine="640" w:firstLineChars="200"/>
        <w:rPr>
          <w:rFonts w:hint="eastAsia" w:ascii="仿宋_GB2312" w:hAnsi="仿宋_GB2312" w:eastAsia="仿宋_GB2312" w:cs="仿宋_GB2312"/>
          <w:color w:val="auto"/>
          <w:sz w:val="32"/>
          <w:szCs w:val="32"/>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E661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0079F6">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00079F6">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jZTQ0ODNjODk5ZjY3N2ExZDE4YTRkYTdiZDU3N2MifQ=="/>
  </w:docVars>
  <w:rsids>
    <w:rsidRoot w:val="00000000"/>
    <w:rsid w:val="05CB3411"/>
    <w:rsid w:val="075E313A"/>
    <w:rsid w:val="09926702"/>
    <w:rsid w:val="11050F48"/>
    <w:rsid w:val="13C25B39"/>
    <w:rsid w:val="210928FD"/>
    <w:rsid w:val="38303AEE"/>
    <w:rsid w:val="44F578DB"/>
    <w:rsid w:val="4E411501"/>
    <w:rsid w:val="5615152F"/>
    <w:rsid w:val="61664109"/>
    <w:rsid w:val="68C249FA"/>
    <w:rsid w:val="69E20CC7"/>
    <w:rsid w:val="73921EC4"/>
    <w:rsid w:val="73DD45FD"/>
    <w:rsid w:val="7FE708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1665</Words>
  <Characters>1855</Characters>
  <Lines>0</Lines>
  <Paragraphs>0</Paragraphs>
  <TotalTime>29</TotalTime>
  <ScaleCrop>false</ScaleCrop>
  <LinksUpToDate>false</LinksUpToDate>
  <CharactersWithSpaces>7367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2026-01-22T03:12:00Z</dcterms:created>
  <dc:creator>Administrator</dc:creator>
  <cp:lastModifiedBy>河谷镇</cp:lastModifiedBy>
  <dcterms:modified xsi:type="dcterms:W3CDTF">2026-02-03T01:28:48Z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3D9801A346D7471DA966E09984606021_12</vt:lpwstr>
  </property>
  <property fmtid="{D5CDD505-2E9C-101B-9397-08002B2CF9AE}" pid="4" name="KSOTemplateDocerSaveRecord">
    <vt:lpwstr>eyJoZGlkIjoiNjljYzBiNmJkNjNmYjA3MDkwNzQ4ZTM5NDc1MTY5NDgiLCJ1c2VySWQiOiI0OTg3NTAzNTcifQ==</vt:lpwstr>
  </property>
</Properties>
</file>