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2FF22">
      <w:pPr>
        <w:keepNext w:val="0"/>
        <w:keepLines w:val="0"/>
        <w:pageBreakBefore w:val="0"/>
        <w:widowControl w:val="0"/>
        <w:kinsoku/>
        <w:wordWrap/>
        <w:overflowPunct/>
        <w:topLinePunct w:val="0"/>
        <w:bidi w:val="0"/>
        <w:spacing w:line="4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柳州市柳北区市场监督管理局</w:t>
      </w:r>
    </w:p>
    <w:p w14:paraId="3BFD6A65">
      <w:pPr>
        <w:keepNext w:val="0"/>
        <w:keepLines w:val="0"/>
        <w:pageBreakBefore w:val="0"/>
        <w:widowControl w:val="0"/>
        <w:tabs>
          <w:tab w:val="left" w:pos="1649"/>
          <w:tab w:val="center" w:pos="4596"/>
        </w:tabs>
        <w:kinsoku/>
        <w:wordWrap/>
        <w:overflowPunct/>
        <w:topLinePunct w:val="0"/>
        <w:bidi w:val="0"/>
        <w:spacing w:line="440" w:lineRule="exact"/>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rPr>
        <w:t>行政处罚决定书</w:t>
      </w:r>
    </w:p>
    <w:p w14:paraId="76DC1E1B">
      <w:pPr>
        <w:keepNext w:val="0"/>
        <w:keepLines w:val="0"/>
        <w:pageBreakBefore w:val="0"/>
        <w:widowControl w:val="0"/>
        <w:kinsoku/>
        <w:wordWrap/>
        <w:overflowPunct/>
        <w:topLinePunct w:val="0"/>
        <w:autoSpaceDE/>
        <w:autoSpaceDN/>
        <w:bidi w:val="0"/>
        <w:snapToGrid/>
        <w:spacing w:line="44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bookmarkStart w:id="3" w:name="_GoBack"/>
      <w:bookmarkEnd w:id="3"/>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号</w:t>
      </w:r>
    </w:p>
    <w:p w14:paraId="78D1ACD4">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color w:val="auto"/>
          <w:sz w:val="32"/>
          <w:szCs w:val="32"/>
        </w:rPr>
      </w:pPr>
    </w:p>
    <w:p w14:paraId="3CF462DC">
      <w:pPr>
        <w:keepNext w:val="0"/>
        <w:keepLines w:val="0"/>
        <w:pageBreakBefore w:val="0"/>
        <w:widowControl w:val="0"/>
        <w:kinsoku/>
        <w:wordWrap/>
        <w:overflowPunct/>
        <w:topLinePunct w:val="0"/>
        <w:bidi w:val="0"/>
        <w:adjustRightInd w:val="0"/>
        <w:snapToGrid/>
        <w:spacing w:line="440" w:lineRule="exact"/>
        <w:ind w:right="233" w:rightChars="111"/>
        <w:textAlignment w:val="baseline"/>
        <w:rPr>
          <w:color w:val="auto"/>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bCs/>
          <w:color w:val="auto"/>
          <w:sz w:val="32"/>
          <w:szCs w:val="32"/>
          <w:lang w:eastAsia="zh-CN"/>
        </w:rPr>
        <w:t>柳州市柳北区随园蔬菜店</w:t>
      </w:r>
    </w:p>
    <w:p w14:paraId="31A3014E">
      <w:pPr>
        <w:keepNext w:val="0"/>
        <w:keepLines w:val="0"/>
        <w:pageBreakBefore w:val="0"/>
        <w:widowControl w:val="0"/>
        <w:kinsoku/>
        <w:wordWrap/>
        <w:overflowPunct/>
        <w:topLinePunct w:val="0"/>
        <w:bidi w:val="0"/>
        <w:adjustRightInd w:val="0"/>
        <w:snapToGrid/>
        <w:spacing w:line="440" w:lineRule="exact"/>
        <w:ind w:right="233" w:rightChars="111"/>
        <w:textAlignment w:val="baseline"/>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color w:val="auto"/>
          <w:sz w:val="32"/>
          <w:szCs w:val="32"/>
        </w:rPr>
        <w:t>主体资格证照名称：</w:t>
      </w:r>
      <w:r>
        <w:rPr>
          <w:rFonts w:hint="eastAsia" w:ascii="仿宋_GB2312" w:hAnsi="仿宋_GB2312" w:eastAsia="仿宋_GB2312" w:cs="仿宋_GB2312"/>
          <w:bCs/>
          <w:color w:val="auto"/>
          <w:kern w:val="0"/>
          <w:sz w:val="32"/>
          <w:szCs w:val="32"/>
          <w:lang w:val="en-US" w:eastAsia="zh-CN" w:bidi="ar-SA"/>
        </w:rPr>
        <w:t>营业执照</w:t>
      </w:r>
    </w:p>
    <w:p w14:paraId="00434466">
      <w:pPr>
        <w:pStyle w:val="2"/>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lang w:eastAsia="zh-CN"/>
        </w:rPr>
        <w:t>92450205MABQ374X19</w:t>
      </w:r>
    </w:p>
    <w:p w14:paraId="296F390C">
      <w:pPr>
        <w:pStyle w:val="2"/>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bCs/>
          <w:color w:val="auto"/>
          <w:sz w:val="32"/>
          <w:szCs w:val="32"/>
          <w:lang w:eastAsia="zh-CN"/>
        </w:rPr>
      </w:pPr>
      <w:r>
        <w:rPr>
          <w:rFonts w:hint="eastAsia" w:ascii="仿宋_GB2312" w:hAnsi="仿宋" w:eastAsia="仿宋_GB2312" w:cs="仿宋"/>
          <w:color w:val="auto"/>
          <w:sz w:val="32"/>
          <w:szCs w:val="32"/>
          <w:lang w:eastAsia="zh-CN"/>
        </w:rPr>
        <w:t>经营场所：</w:t>
      </w:r>
      <w:bookmarkStart w:id="0" w:name="OLE_LINK1"/>
      <w:r>
        <w:rPr>
          <w:rFonts w:hint="eastAsia" w:ascii="仿宋_GB2312" w:hAnsi="仿宋_GB2312" w:eastAsia="仿宋_GB2312" w:cs="仿宋_GB2312"/>
          <w:bCs/>
          <w:color w:val="auto"/>
          <w:sz w:val="32"/>
          <w:szCs w:val="32"/>
          <w:lang w:eastAsia="zh-CN"/>
        </w:rPr>
        <w:t>柳州市柳北区北雀路西三巷</w:t>
      </w:r>
      <w:r>
        <w:rPr>
          <w:rFonts w:hint="eastAsia" w:ascii="仿宋_GB2312" w:hAnsi="仿宋_GB2312" w:eastAsia="仿宋_GB2312" w:cs="仿宋_GB2312"/>
          <w:bCs/>
          <w:color w:val="auto"/>
          <w:sz w:val="32"/>
          <w:szCs w:val="32"/>
          <w:lang w:val="en-US" w:eastAsia="zh-CN"/>
        </w:rPr>
        <w:t>64号鸿聚综合农贸市场内蔬菜行</w:t>
      </w:r>
    </w:p>
    <w:p w14:paraId="78E9ADBE">
      <w:pPr>
        <w:pStyle w:val="2"/>
        <w:keepNext w:val="0"/>
        <w:keepLines w:val="0"/>
        <w:pageBreakBefore w:val="0"/>
        <w:widowControl w:val="0"/>
        <w:kinsoku/>
        <w:wordWrap/>
        <w:overflowPunct/>
        <w:topLinePunct w:val="0"/>
        <w:bidi w:val="0"/>
        <w:snapToGrid/>
        <w:spacing w:line="440" w:lineRule="exact"/>
        <w:rPr>
          <w:rFonts w:hint="eastAsia"/>
          <w:color w:val="auto"/>
          <w:lang w:val="en-US" w:eastAsia="zh-CN"/>
        </w:rPr>
      </w:pPr>
      <w:r>
        <w:rPr>
          <w:rFonts w:hint="eastAsia" w:hAnsi="仿宋_GB2312" w:cs="仿宋_GB2312"/>
          <w:bCs/>
          <w:color w:val="auto"/>
          <w:sz w:val="32"/>
          <w:szCs w:val="32"/>
          <w:lang w:eastAsia="zh-CN"/>
        </w:rPr>
        <w:t>经营者：</w:t>
      </w:r>
      <w:r>
        <w:rPr>
          <w:rFonts w:hint="eastAsia" w:ascii="仿宋_GB2312" w:hAnsi="仿宋_GB2312" w:eastAsia="仿宋_GB2312" w:cs="仿宋_GB2312"/>
          <w:bCs/>
          <w:color w:val="auto"/>
          <w:sz w:val="32"/>
          <w:szCs w:val="32"/>
          <w:lang w:eastAsia="zh-CN"/>
        </w:rPr>
        <w:t>张鑫</w:t>
      </w:r>
    </w:p>
    <w:bookmarkEnd w:id="0"/>
    <w:p w14:paraId="0F067388">
      <w:pPr>
        <w:pStyle w:val="2"/>
        <w:keepNext w:val="0"/>
        <w:keepLines w:val="0"/>
        <w:pageBreakBefore w:val="0"/>
        <w:widowControl w:val="0"/>
        <w:kinsoku/>
        <w:wordWrap/>
        <w:overflowPunct/>
        <w:topLinePunct w:val="0"/>
        <w:bidi w:val="0"/>
        <w:snapToGrid/>
        <w:spacing w:line="440" w:lineRule="exact"/>
        <w:rPr>
          <w:rFonts w:hint="default" w:eastAsia="仿宋_GB2312"/>
          <w:color w:val="auto"/>
          <w:lang w:val="en-US" w:eastAsia="zh-CN"/>
        </w:rPr>
      </w:pPr>
      <w:r>
        <w:rPr>
          <w:rFonts w:hint="eastAsia" w:ascii="仿宋_GB2312" w:hAnsi="仿宋" w:eastAsia="仿宋_GB2312" w:cs="仿宋"/>
          <w:color w:val="auto"/>
          <w:kern w:val="2"/>
          <w:sz w:val="32"/>
          <w:szCs w:val="32"/>
          <w:lang w:val="en-US" w:eastAsia="zh-CN" w:bidi="ar-SA"/>
        </w:rPr>
        <w:t>身份证</w:t>
      </w:r>
      <w:r>
        <w:rPr>
          <w:rFonts w:hint="eastAsia" w:hAnsi="仿宋" w:cs="仿宋"/>
          <w:color w:val="auto"/>
          <w:kern w:val="2"/>
          <w:sz w:val="32"/>
          <w:szCs w:val="32"/>
          <w:lang w:val="en-US" w:eastAsia="zh-CN" w:bidi="ar-SA"/>
        </w:rPr>
        <w:t>件</w:t>
      </w:r>
      <w:r>
        <w:rPr>
          <w:rFonts w:hint="eastAsia" w:ascii="仿宋_GB2312" w:hAnsi="仿宋" w:eastAsia="仿宋_GB2312" w:cs="仿宋"/>
          <w:color w:val="auto"/>
          <w:kern w:val="2"/>
          <w:sz w:val="32"/>
          <w:szCs w:val="32"/>
          <w:lang w:val="en-US" w:eastAsia="zh-CN" w:bidi="ar-SA"/>
        </w:rPr>
        <w:t>号码</w:t>
      </w:r>
      <w:r>
        <w:rPr>
          <w:rFonts w:hint="eastAsia" w:hAnsi="仿宋" w:cs="仿宋"/>
          <w:color w:val="auto"/>
          <w:kern w:val="2"/>
          <w:sz w:val="32"/>
          <w:szCs w:val="32"/>
          <w:lang w:val="en-US" w:eastAsia="zh-CN" w:bidi="ar-SA"/>
        </w:rPr>
        <w:t>：</w:t>
      </w:r>
      <w:r>
        <w:rPr>
          <w:rFonts w:hint="eastAsia" w:hAnsi="仿宋_GB2312" w:cs="仿宋_GB2312"/>
          <w:color w:val="auto"/>
          <w:sz w:val="32"/>
          <w:szCs w:val="32"/>
          <w:lang w:val="en-US" w:eastAsia="zh-CN"/>
        </w:rPr>
        <w:t>*</w:t>
      </w:r>
    </w:p>
    <w:p w14:paraId="788CF582">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firstLine="640" w:firstLineChars="200"/>
        <w:textAlignment w:val="baseline"/>
        <w:rPr>
          <w:rFonts w:hint="eastAsia" w:ascii="仿宋_GB2312" w:hAnsi="仿宋_GB2312" w:eastAsia="仿宋_GB2312" w:cs="仿宋_GB2312"/>
          <w:color w:val="auto"/>
          <w:sz w:val="32"/>
          <w:szCs w:val="32"/>
        </w:rPr>
      </w:pPr>
    </w:p>
    <w:p w14:paraId="58AA2486">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lang w:val="en-US" w:eastAsia="zh-CN"/>
        </w:rPr>
        <w:t>广西民生中检联检测有限公司于2025年10月28日对当事人当日购进并销售的茄子抽样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z w:val="32"/>
          <w:szCs w:val="32"/>
          <w:u w:val="none"/>
          <w:lang w:val="en-US" w:eastAsia="zh-CN"/>
        </w:rPr>
        <w:t>进行送检。2025年11月20日，我局收到广西民生中检联检测有限公司</w:t>
      </w:r>
      <w:r>
        <w:rPr>
          <w:rFonts w:hint="eastAsia" w:ascii="仿宋_GB2312" w:hAnsi="仿宋_GB2312" w:eastAsia="仿宋_GB2312" w:cs="仿宋_GB2312"/>
          <w:bCs/>
          <w:color w:val="auto"/>
          <w:sz w:val="32"/>
          <w:szCs w:val="32"/>
          <w:u w:val="none"/>
        </w:rPr>
        <w:t>出具</w:t>
      </w:r>
      <w:r>
        <w:rPr>
          <w:rFonts w:hint="eastAsia" w:ascii="仿宋_GB2312" w:hAnsi="仿宋_GB2312" w:eastAsia="仿宋_GB2312" w:cs="仿宋_GB2312"/>
          <w:bCs/>
          <w:color w:val="auto"/>
          <w:sz w:val="32"/>
          <w:szCs w:val="32"/>
          <w:u w:val="none"/>
          <w:lang w:eastAsia="zh-CN"/>
        </w:rPr>
        <w:t>的</w:t>
      </w:r>
      <w:r>
        <w:rPr>
          <w:rFonts w:hint="eastAsia" w:ascii="仿宋_GB2312" w:hAnsi="仿宋_GB2312" w:eastAsia="仿宋_GB2312" w:cs="仿宋_GB2312"/>
          <w:bCs/>
          <w:color w:val="auto"/>
          <w:sz w:val="32"/>
          <w:szCs w:val="32"/>
          <w:u w:val="none"/>
        </w:rPr>
        <w:t>编号为</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bCs/>
          <w:color w:val="auto"/>
          <w:w w:val="100"/>
          <w:sz w:val="32"/>
          <w:szCs w:val="32"/>
          <w:u w:val="none" w:color="auto"/>
        </w:rPr>
        <w:t>:</w:t>
      </w:r>
      <w:r>
        <w:rPr>
          <w:rFonts w:hint="eastAsia" w:ascii="仿宋_GB2312" w:hAnsi="仿宋_GB2312" w:eastAsia="仿宋_GB2312" w:cs="仿宋_GB2312"/>
          <w:bCs/>
          <w:color w:val="auto"/>
          <w:w w:val="100"/>
          <w:sz w:val="32"/>
          <w:szCs w:val="32"/>
          <w:u w:val="none" w:color="auto"/>
          <w:lang w:val="en-US" w:eastAsia="zh-CN"/>
        </w:rPr>
        <w:t>BFSQF100440028C</w:t>
      </w:r>
      <w:r>
        <w:rPr>
          <w:rFonts w:hint="eastAsia" w:ascii="仿宋_GB2312" w:hAnsi="仿宋_GB2312" w:eastAsia="仿宋_GB2312" w:cs="仿宋_GB2312"/>
          <w:bCs/>
          <w:color w:val="auto"/>
          <w:sz w:val="32"/>
          <w:szCs w:val="32"/>
          <w:u w:val="none"/>
          <w:lang w:val="en-US" w:eastAsia="zh-CN"/>
        </w:rPr>
        <w:t>的《</w:t>
      </w:r>
      <w:r>
        <w:rPr>
          <w:rFonts w:hint="eastAsia" w:ascii="仿宋_GB2312" w:hAnsi="仿宋_GB2312" w:eastAsia="仿宋_GB2312" w:cs="仿宋_GB2312"/>
          <w:bCs/>
          <w:color w:val="auto"/>
          <w:sz w:val="32"/>
          <w:szCs w:val="32"/>
          <w:u w:val="none"/>
        </w:rPr>
        <w:t>检验报告</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bCs/>
          <w:color w:val="auto"/>
          <w:sz w:val="32"/>
          <w:szCs w:val="32"/>
          <w:u w:val="none"/>
        </w:rPr>
        <w:t>检验结论</w:t>
      </w:r>
      <w:r>
        <w:rPr>
          <w:rFonts w:hint="eastAsia" w:ascii="仿宋_GB2312" w:hAnsi="仿宋_GB2312" w:eastAsia="仿宋_GB2312" w:cs="仿宋_GB2312"/>
          <w:bCs/>
          <w:color w:val="auto"/>
          <w:sz w:val="32"/>
          <w:szCs w:val="32"/>
          <w:u w:val="none"/>
          <w:lang w:eastAsia="zh-CN"/>
        </w:rPr>
        <w:t>为</w:t>
      </w:r>
      <w:r>
        <w:rPr>
          <w:rFonts w:hint="eastAsia" w:ascii="仿宋_GB2312" w:hAnsi="仿宋_GB2312" w:eastAsia="仿宋_GB2312" w:cs="仿宋_GB2312"/>
          <w:bCs/>
          <w:color w:val="auto"/>
          <w:sz w:val="32"/>
          <w:szCs w:val="32"/>
          <w:u w:val="none"/>
        </w:rPr>
        <w:t>不合格</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我局执法人员于</w:t>
      </w:r>
      <w:r>
        <w:rPr>
          <w:rFonts w:hint="eastAsia" w:ascii="仿宋_GB2312" w:hAnsi="仿宋_GB2312" w:eastAsia="仿宋_GB2312" w:cs="仿宋_GB2312"/>
          <w:color w:val="auto"/>
          <w:sz w:val="32"/>
          <w:szCs w:val="32"/>
          <w:lang w:val="en-US" w:eastAsia="zh-CN"/>
        </w:rPr>
        <w:t>2025年11月27日</w:t>
      </w:r>
      <w:r>
        <w:rPr>
          <w:rFonts w:hint="eastAsia" w:ascii="仿宋_GB2312" w:hAnsi="仿宋_GB2312" w:eastAsia="仿宋_GB2312" w:cs="仿宋_GB2312"/>
          <w:bCs/>
          <w:color w:val="auto"/>
          <w:sz w:val="32"/>
          <w:szCs w:val="32"/>
          <w:u w:val="none"/>
          <w:lang w:eastAsia="zh-CN"/>
        </w:rPr>
        <w:t>向当事人送达上述《</w:t>
      </w:r>
      <w:r>
        <w:rPr>
          <w:rFonts w:hint="eastAsia" w:ascii="仿宋_GB2312" w:hAnsi="仿宋_GB2312" w:eastAsia="仿宋_GB2312" w:cs="仿宋_GB2312"/>
          <w:bCs/>
          <w:color w:val="auto"/>
          <w:sz w:val="32"/>
          <w:szCs w:val="32"/>
          <w:u w:val="none"/>
        </w:rPr>
        <w:t>检验报告</w:t>
      </w:r>
      <w:r>
        <w:rPr>
          <w:rFonts w:hint="eastAsia" w:ascii="仿宋_GB2312" w:hAnsi="仿宋_GB2312" w:eastAsia="仿宋_GB2312" w:cs="仿宋_GB2312"/>
          <w:bCs/>
          <w:color w:val="auto"/>
          <w:sz w:val="32"/>
          <w:szCs w:val="32"/>
          <w:u w:val="none"/>
          <w:lang w:eastAsia="zh-CN"/>
        </w:rPr>
        <w:t>》及《食品安全抽样检验结果通知书》，并对当事人经营场所进行</w:t>
      </w:r>
      <w:r>
        <w:rPr>
          <w:rFonts w:hint="eastAsia" w:ascii="仿宋_GB2312" w:hAnsi="仿宋_GB2312" w:eastAsia="仿宋_GB2312" w:cs="仿宋_GB2312"/>
          <w:bCs/>
          <w:color w:val="auto"/>
          <w:sz w:val="32"/>
          <w:szCs w:val="32"/>
          <w:u w:val="none"/>
        </w:rPr>
        <w:t>现场</w:t>
      </w:r>
      <w:r>
        <w:rPr>
          <w:rFonts w:hint="eastAsia" w:ascii="仿宋_GB2312" w:hAnsi="仿宋_GB2312" w:eastAsia="仿宋_GB2312" w:cs="仿宋_GB2312"/>
          <w:bCs/>
          <w:color w:val="auto"/>
          <w:sz w:val="32"/>
          <w:szCs w:val="32"/>
          <w:u w:val="none"/>
          <w:lang w:eastAsia="zh-CN"/>
        </w:rPr>
        <w:t>检查，经检查当事人</w:t>
      </w:r>
      <w:r>
        <w:rPr>
          <w:rFonts w:hint="eastAsia" w:ascii="仿宋_GB2312" w:hAnsi="仿宋_GB2312" w:eastAsia="仿宋_GB2312" w:cs="仿宋_GB2312"/>
          <w:color w:val="auto"/>
          <w:sz w:val="32"/>
          <w:szCs w:val="32"/>
          <w:u w:val="none"/>
        </w:rPr>
        <w:t>上述</w:t>
      </w:r>
      <w:r>
        <w:rPr>
          <w:rFonts w:hint="eastAsia" w:ascii="仿宋_GB2312" w:hAnsi="仿宋_GB2312" w:eastAsia="仿宋_GB2312" w:cs="仿宋_GB2312"/>
          <w:color w:val="auto"/>
          <w:sz w:val="32"/>
          <w:szCs w:val="32"/>
          <w:u w:val="none"/>
          <w:lang w:eastAsia="zh-CN"/>
        </w:rPr>
        <w:t>检验不合格批次</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茄子</w:t>
      </w:r>
      <w:r>
        <w:rPr>
          <w:rFonts w:hint="eastAsia" w:ascii="仿宋_GB2312" w:hAnsi="仿宋_GB2312" w:eastAsia="仿宋_GB2312" w:cs="仿宋_GB2312"/>
          <w:color w:val="auto"/>
          <w:sz w:val="32"/>
          <w:szCs w:val="32"/>
          <w:u w:val="none"/>
        </w:rPr>
        <w:t>已无</w:t>
      </w:r>
      <w:r>
        <w:rPr>
          <w:rFonts w:hint="eastAsia" w:ascii="仿宋_GB2312" w:hAnsi="仿宋_GB2312" w:eastAsia="仿宋_GB2312" w:cs="仿宋_GB2312"/>
          <w:color w:val="auto"/>
          <w:sz w:val="32"/>
          <w:szCs w:val="32"/>
          <w:u w:val="none"/>
          <w:lang w:val="en-US" w:eastAsia="zh-CN"/>
        </w:rPr>
        <w:t>在售及</w:t>
      </w:r>
      <w:r>
        <w:rPr>
          <w:rFonts w:hint="eastAsia" w:ascii="仿宋_GB2312" w:hAnsi="仿宋_GB2312" w:eastAsia="仿宋_GB2312" w:cs="仿宋_GB2312"/>
          <w:color w:val="auto"/>
          <w:sz w:val="32"/>
          <w:szCs w:val="32"/>
          <w:u w:val="none"/>
        </w:rPr>
        <w:t>库存</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在法定期限内</w:t>
      </w:r>
      <w:r>
        <w:rPr>
          <w:rFonts w:hint="eastAsia" w:ascii="仿宋_GB2312" w:hAnsi="仿宋_GB2312" w:eastAsia="仿宋_GB2312" w:cs="仿宋_GB2312"/>
          <w:color w:val="auto"/>
          <w:sz w:val="32"/>
          <w:szCs w:val="32"/>
          <w:u w:val="none"/>
        </w:rPr>
        <w:t>未提出复检申请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color w:val="auto"/>
          <w:sz w:val="32"/>
          <w:szCs w:val="32"/>
          <w:u w:val="none"/>
        </w:rPr>
        <w:t>20</w:t>
      </w:r>
      <w:r>
        <w:rPr>
          <w:rFonts w:hint="eastAsia" w:ascii="仿宋_GB2312" w:hAnsi="仿宋_GB2312" w:eastAsia="仿宋_GB2312" w:cs="仿宋_GB2312"/>
          <w:color w:val="auto"/>
          <w:sz w:val="32"/>
          <w:szCs w:val="32"/>
          <w:u w:val="none"/>
          <w:lang w:val="en-US" w:eastAsia="zh-CN"/>
        </w:rPr>
        <w:t>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28</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对</w:t>
      </w:r>
      <w:r>
        <w:rPr>
          <w:rFonts w:hint="eastAsia" w:ascii="仿宋_GB2312" w:hAnsi="仿宋_GB2312" w:eastAsia="仿宋_GB2312" w:cs="仿宋_GB2312"/>
          <w:bCs/>
          <w:color w:val="auto"/>
          <w:sz w:val="32"/>
          <w:szCs w:val="32"/>
          <w:u w:val="none"/>
          <w:lang w:eastAsia="zh-CN"/>
        </w:rPr>
        <w:t>当事人</w:t>
      </w:r>
      <w:r>
        <w:rPr>
          <w:rFonts w:hint="eastAsia" w:ascii="仿宋_GB2312" w:hAnsi="仿宋_GB2312" w:eastAsia="仿宋_GB2312" w:cs="仿宋_GB2312"/>
          <w:color w:val="auto"/>
          <w:sz w:val="32"/>
          <w:szCs w:val="32"/>
        </w:rPr>
        <w:t>涉嫌</w:t>
      </w:r>
      <w:r>
        <w:rPr>
          <w:rFonts w:hint="eastAsia" w:ascii="仿宋_GB2312" w:hAnsi="仿宋_GB2312" w:eastAsia="仿宋_GB2312" w:cs="仿宋_GB2312"/>
          <w:color w:val="auto"/>
          <w:sz w:val="32"/>
          <w:szCs w:val="32"/>
          <w:lang w:eastAsia="zh-CN"/>
        </w:rPr>
        <w:t>经营重金属</w:t>
      </w:r>
      <w:r>
        <w:rPr>
          <w:rFonts w:hint="eastAsia" w:ascii="仿宋_GB2312" w:hAnsi="仿宋_GB2312" w:eastAsia="仿宋_GB2312" w:cs="仿宋_GB2312"/>
          <w:color w:val="auto"/>
          <w:sz w:val="32"/>
          <w:szCs w:val="32"/>
          <w:lang w:val="en-US" w:eastAsia="zh-CN"/>
        </w:rPr>
        <w:t>含量超过食品安全标准限量</w:t>
      </w:r>
      <w:r>
        <w:rPr>
          <w:rFonts w:hint="eastAsia" w:ascii="仿宋_GB2312" w:hAnsi="仿宋_GB2312" w:eastAsia="仿宋_GB2312" w:cs="仿宋_GB2312"/>
          <w:color w:val="auto"/>
          <w:sz w:val="32"/>
          <w:szCs w:val="32"/>
        </w:rPr>
        <w:t>的食品</w:t>
      </w:r>
      <w:r>
        <w:rPr>
          <w:rFonts w:hint="eastAsia" w:ascii="仿宋_GB2312" w:hAnsi="仿宋_GB2312" w:eastAsia="仿宋_GB2312" w:cs="仿宋_GB2312"/>
          <w:bCs/>
          <w:color w:val="auto"/>
          <w:sz w:val="32"/>
          <w:szCs w:val="32"/>
          <w:u w:val="none"/>
          <w:lang w:eastAsia="zh-CN"/>
        </w:rPr>
        <w:t>的行为进行立案调查</w:t>
      </w:r>
      <w:r>
        <w:rPr>
          <w:rFonts w:hint="eastAsia" w:ascii="仿宋_GB2312" w:hAnsi="仿宋_GB2312" w:eastAsia="仿宋_GB2312" w:cs="仿宋_GB2312"/>
          <w:bCs/>
          <w:color w:val="auto"/>
          <w:sz w:val="32"/>
          <w:szCs w:val="32"/>
          <w:u w:val="none"/>
        </w:rPr>
        <w:t>。</w:t>
      </w:r>
    </w:p>
    <w:p w14:paraId="335FFE3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经查实，当事人于2025年10月28日购进茄子</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lang w:val="en-US" w:eastAsia="zh-CN"/>
        </w:rPr>
        <w:t>kg，进价*元/kg，以6元/kg的价格</w:t>
      </w:r>
      <w:r>
        <w:rPr>
          <w:rFonts w:hint="eastAsia" w:ascii="仿宋_GB2312" w:hAnsi="仿宋_GB2312" w:eastAsia="仿宋_GB2312" w:cs="仿宋_GB2312"/>
          <w:strike w:val="0"/>
          <w:dstrike w:val="0"/>
          <w:color w:val="auto"/>
          <w:sz w:val="32"/>
          <w:szCs w:val="32"/>
          <w:u w:val="none"/>
          <w:lang w:val="en-US" w:eastAsia="zh-CN"/>
        </w:rPr>
        <w:t>进行</w:t>
      </w:r>
      <w:r>
        <w:rPr>
          <w:rFonts w:hint="eastAsia" w:ascii="仿宋_GB2312" w:hAnsi="仿宋_GB2312" w:eastAsia="仿宋_GB2312" w:cs="仿宋_GB2312"/>
          <w:color w:val="auto"/>
          <w:sz w:val="32"/>
          <w:szCs w:val="32"/>
          <w:u w:val="none"/>
          <w:lang w:val="en-US" w:eastAsia="zh-CN"/>
        </w:rPr>
        <w:t>销售，</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pacing w:val="0"/>
          <w:sz w:val="32"/>
          <w:szCs w:val="32"/>
          <w:u w:val="none"/>
          <w:lang w:val="en-US" w:eastAsia="zh-CN"/>
        </w:rPr>
        <w:t>销售给</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工作人员抽样送检，</w:t>
      </w:r>
      <w:r>
        <w:rPr>
          <w:rFonts w:hint="eastAsia" w:ascii="仿宋_GB2312" w:hAnsi="仿宋_GB2312" w:eastAsia="仿宋_GB2312" w:cs="仿宋_GB2312"/>
          <w:color w:val="auto"/>
          <w:sz w:val="32"/>
          <w:szCs w:val="32"/>
          <w:u w:val="none"/>
          <w:lang w:val="en-US" w:eastAsia="zh-CN"/>
        </w:rPr>
        <w:t>剩余的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bCs/>
          <w:color w:val="auto"/>
          <w:sz w:val="32"/>
          <w:szCs w:val="32"/>
        </w:rPr>
        <w:t>全部在</w:t>
      </w:r>
      <w:r>
        <w:rPr>
          <w:rFonts w:hint="eastAsia" w:ascii="仿宋_GB2312" w:hAnsi="仿宋_GB2312" w:eastAsia="仿宋_GB2312" w:cs="仿宋_GB2312"/>
          <w:bCs/>
          <w:color w:val="auto"/>
          <w:sz w:val="32"/>
          <w:szCs w:val="32"/>
          <w:lang w:eastAsia="zh-CN"/>
        </w:rPr>
        <w:t>经营场所</w:t>
      </w:r>
      <w:r>
        <w:rPr>
          <w:rFonts w:hint="eastAsia" w:ascii="仿宋_GB2312" w:hAnsi="仿宋_GB2312" w:eastAsia="仿宋_GB2312" w:cs="仿宋_GB2312"/>
          <w:bCs/>
          <w:color w:val="auto"/>
          <w:sz w:val="32"/>
          <w:szCs w:val="32"/>
        </w:rPr>
        <w:t>内售完</w:t>
      </w:r>
      <w:r>
        <w:rPr>
          <w:rFonts w:hint="eastAsia" w:ascii="仿宋_GB2312" w:hAnsi="仿宋_GB2312" w:eastAsia="仿宋_GB2312" w:cs="仿宋_GB2312"/>
          <w:color w:val="auto"/>
          <w:spacing w:val="0"/>
          <w:sz w:val="32"/>
          <w:szCs w:val="32"/>
          <w:u w:val="none"/>
          <w:lang w:val="en-US" w:eastAsia="zh-CN"/>
        </w:rPr>
        <w:t>。</w:t>
      </w:r>
      <w:r>
        <w:rPr>
          <w:rFonts w:hint="default" w:ascii="Times New Roman" w:hAnsi="Times New Roman" w:eastAsia="仿宋_GB2312" w:cs="Times New Roman"/>
          <w:bCs/>
          <w:color w:val="auto"/>
          <w:sz w:val="32"/>
          <w:szCs w:val="32"/>
          <w:u w:val="none"/>
          <w:lang w:eastAsia="zh-CN"/>
        </w:rPr>
        <w:t>上述</w:t>
      </w:r>
      <w:r>
        <w:rPr>
          <w:rFonts w:hint="eastAsia" w:ascii="仿宋_GB2312" w:hAnsi="仿宋_GB2312" w:eastAsia="仿宋_GB2312" w:cs="仿宋_GB2312"/>
          <w:color w:val="auto"/>
          <w:sz w:val="32"/>
          <w:szCs w:val="32"/>
          <w:u w:val="none" w:color="auto"/>
          <w:lang w:val="en-US" w:eastAsia="zh-CN"/>
        </w:rPr>
        <w:t>茄子</w:t>
      </w:r>
      <w:r>
        <w:rPr>
          <w:rFonts w:hint="default" w:ascii="Times New Roman" w:hAnsi="Times New Roman" w:eastAsia="仿宋_GB2312" w:cs="Times New Roman"/>
          <w:bCs/>
          <w:color w:val="auto"/>
          <w:sz w:val="32"/>
          <w:szCs w:val="32"/>
          <w:u w:val="none"/>
          <w:lang w:eastAsia="zh-CN"/>
        </w:rPr>
        <w:t>货值金额为</w:t>
      </w:r>
      <w:r>
        <w:rPr>
          <w:rFonts w:hint="eastAsia" w:ascii="Times New Roman" w:hAnsi="Times New Roman" w:eastAsia="仿宋_GB2312" w:cs="Times New Roman"/>
          <w:bCs/>
          <w:color w:val="auto"/>
          <w:sz w:val="32"/>
          <w:szCs w:val="32"/>
          <w:u w:val="none"/>
          <w:lang w:val="en-US" w:eastAsia="zh-CN"/>
        </w:rPr>
        <w:t>30</w:t>
      </w:r>
      <w:r>
        <w:rPr>
          <w:rFonts w:hint="default" w:ascii="Times New Roman" w:hAnsi="Times New Roman" w:eastAsia="仿宋_GB2312" w:cs="Times New Roman"/>
          <w:bCs/>
          <w:color w:val="auto"/>
          <w:sz w:val="32"/>
          <w:szCs w:val="32"/>
          <w:u w:val="none"/>
          <w:lang w:eastAsia="zh-CN"/>
        </w:rPr>
        <w:t>元，营业性收入</w:t>
      </w:r>
      <w:r>
        <w:rPr>
          <w:rFonts w:hint="eastAsia" w:ascii="Times New Roman" w:hAnsi="Times New Roman" w:eastAsia="仿宋_GB2312" w:cs="Times New Roman"/>
          <w:bCs/>
          <w:color w:val="auto"/>
          <w:sz w:val="32"/>
          <w:szCs w:val="32"/>
          <w:u w:val="none"/>
          <w:lang w:val="en-US" w:eastAsia="zh-CN"/>
        </w:rPr>
        <w:t>30</w:t>
      </w:r>
      <w:r>
        <w:rPr>
          <w:rFonts w:hint="default" w:ascii="Times New Roman" w:hAnsi="Times New Roman" w:eastAsia="仿宋_GB2312" w:cs="Times New Roman"/>
          <w:bCs/>
          <w:color w:val="auto"/>
          <w:sz w:val="32"/>
          <w:szCs w:val="32"/>
          <w:u w:val="none"/>
          <w:lang w:eastAsia="zh-CN"/>
        </w:rPr>
        <w:t>元。</w:t>
      </w:r>
      <w:r>
        <w:rPr>
          <w:rFonts w:hint="eastAsia" w:ascii="仿宋_GB2312" w:hAnsi="仿宋_GB2312" w:eastAsia="仿宋_GB2312" w:cs="仿宋_GB2312"/>
          <w:color w:val="auto"/>
          <w:spacing w:val="0"/>
          <w:sz w:val="32"/>
          <w:szCs w:val="32"/>
          <w:u w:val="none"/>
          <w:lang w:val="en-US" w:eastAsia="zh-CN"/>
        </w:rPr>
        <w:t>上述批次</w:t>
      </w:r>
      <w:r>
        <w:rPr>
          <w:rFonts w:hint="eastAsia" w:ascii="仿宋_GB2312" w:hAnsi="仿宋_GB2312" w:eastAsia="仿宋_GB2312" w:cs="仿宋_GB2312"/>
          <w:color w:val="auto"/>
          <w:sz w:val="32"/>
          <w:szCs w:val="32"/>
          <w:u w:val="none" w:color="auto"/>
          <w:lang w:val="en-US" w:eastAsia="zh-CN"/>
        </w:rPr>
        <w:t>茄子</w:t>
      </w:r>
      <w:r>
        <w:rPr>
          <w:rFonts w:hint="eastAsia" w:ascii="仿宋_GB2312" w:hAnsi="仿宋_GB2312" w:eastAsia="仿宋_GB2312" w:cs="仿宋_GB2312"/>
          <w:color w:val="auto"/>
          <w:spacing w:val="0"/>
          <w:sz w:val="32"/>
          <w:szCs w:val="32"/>
          <w:u w:val="none"/>
          <w:lang w:val="en-US" w:eastAsia="zh-CN"/>
        </w:rPr>
        <w:t>经</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抽样检验，检验结论：经抽样检验，镉（以Cd计）项目</w:t>
      </w:r>
      <w:r>
        <w:rPr>
          <w:rFonts w:hint="eastAsia" w:ascii="仿宋_GB2312" w:hAnsi="仿宋_GB2312" w:eastAsia="仿宋_GB2312" w:cs="仿宋_GB2312"/>
          <w:bCs/>
          <w:color w:val="auto"/>
          <w:sz w:val="32"/>
          <w:szCs w:val="32"/>
        </w:rPr>
        <w:t>不符合GB 276</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22</w:t>
      </w:r>
      <w:r>
        <w:rPr>
          <w:rFonts w:hint="eastAsia" w:ascii="仿宋_GB2312" w:hAnsi="仿宋_GB2312" w:eastAsia="仿宋_GB2312" w:cs="仿宋_GB2312"/>
          <w:bCs/>
          <w:color w:val="auto"/>
          <w:sz w:val="32"/>
          <w:szCs w:val="32"/>
        </w:rPr>
        <w:t xml:space="preserve">《食品安全国家标准 </w:t>
      </w:r>
      <w:r>
        <w:rPr>
          <w:rFonts w:hint="eastAsia" w:ascii="仿宋_GB2312" w:hAnsi="仿宋_GB2312" w:eastAsia="仿宋_GB2312" w:cs="仿宋_GB2312"/>
          <w:bCs/>
          <w:color w:val="auto"/>
          <w:sz w:val="32"/>
          <w:szCs w:val="32"/>
          <w:lang w:eastAsia="zh-CN"/>
        </w:rPr>
        <w:t>食品中污染物</w:t>
      </w:r>
      <w:r>
        <w:rPr>
          <w:rFonts w:hint="eastAsia" w:ascii="仿宋_GB2312" w:hAnsi="仿宋_GB2312" w:eastAsia="仿宋_GB2312" w:cs="仿宋_GB2312"/>
          <w:bCs/>
          <w:color w:val="auto"/>
          <w:sz w:val="32"/>
          <w:szCs w:val="32"/>
        </w:rPr>
        <w:t>限量》要求</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color w:val="auto"/>
          <w:sz w:val="32"/>
          <w:szCs w:val="32"/>
          <w:lang w:val="en-US" w:eastAsia="zh-CN"/>
        </w:rPr>
        <w:t>检验结论为不合格。</w:t>
      </w:r>
    </w:p>
    <w:p w14:paraId="2638B72D">
      <w:pPr>
        <w:pStyle w:val="2"/>
        <w:keepNext w:val="0"/>
        <w:keepLines w:val="0"/>
        <w:pageBreakBefore w:val="0"/>
        <w:widowControl w:val="0"/>
        <w:kinsoku/>
        <w:wordWrap/>
        <w:overflowPunct/>
        <w:topLinePunct w:val="0"/>
        <w:bidi w:val="0"/>
        <w:snapToGrid/>
        <w:spacing w:line="4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none"/>
        </w:rPr>
        <w:t>当事人在采购</w:t>
      </w:r>
      <w:r>
        <w:rPr>
          <w:rFonts w:hint="eastAsia" w:ascii="仿宋_GB2312" w:hAnsi="仿宋_GB2312" w:eastAsia="仿宋_GB2312" w:cs="仿宋_GB2312"/>
          <w:b w:val="0"/>
          <w:bCs w:val="0"/>
          <w:color w:val="auto"/>
          <w:sz w:val="32"/>
          <w:szCs w:val="32"/>
          <w:u w:val="none"/>
          <w:lang w:eastAsia="zh-CN"/>
        </w:rPr>
        <w:t>上述</w:t>
      </w:r>
      <w:r>
        <w:rPr>
          <w:rFonts w:hint="eastAsia" w:hAnsi="仿宋_GB2312" w:cs="仿宋_GB2312"/>
          <w:color w:val="auto"/>
          <w:sz w:val="32"/>
          <w:szCs w:val="32"/>
          <w:u w:val="none"/>
          <w:lang w:val="en-US" w:eastAsia="zh-CN"/>
        </w:rPr>
        <w:t>茄子</w:t>
      </w:r>
      <w:r>
        <w:rPr>
          <w:rFonts w:hint="eastAsia" w:ascii="仿宋_GB2312" w:hAnsi="仿宋_GB2312" w:eastAsia="仿宋_GB2312" w:cs="仿宋_GB2312"/>
          <w:b w:val="0"/>
          <w:bCs w:val="0"/>
          <w:color w:val="auto"/>
          <w:sz w:val="32"/>
          <w:szCs w:val="32"/>
          <w:u w:val="none"/>
          <w:lang w:eastAsia="zh-CN"/>
        </w:rPr>
        <w:t>时</w:t>
      </w:r>
      <w:r>
        <w:rPr>
          <w:rFonts w:hint="eastAsia" w:hAnsi="仿宋_GB2312" w:cs="仿宋_GB2312"/>
          <w:b w:val="0"/>
          <w:bCs w:val="0"/>
          <w:color w:val="auto"/>
          <w:sz w:val="32"/>
          <w:szCs w:val="32"/>
          <w:u w:val="none"/>
          <w:lang w:eastAsia="zh-CN"/>
        </w:rPr>
        <w:t>未查验供应商的资质证明及食品合格证明文件，</w:t>
      </w:r>
      <w:r>
        <w:rPr>
          <w:rFonts w:hint="eastAsia" w:ascii="仿宋_GB2312" w:hAnsi="仿宋_GB2312" w:eastAsia="仿宋_GB2312" w:cs="仿宋_GB2312"/>
          <w:bCs/>
          <w:color w:val="auto"/>
          <w:sz w:val="32"/>
          <w:szCs w:val="32"/>
          <w:u w:val="none"/>
          <w:lang w:val="en-US" w:eastAsia="zh-CN"/>
        </w:rPr>
        <w:t>未建立食用农产品进货查验记录，也未保存相关进货票据</w:t>
      </w:r>
      <w:r>
        <w:rPr>
          <w:rFonts w:hint="eastAsia" w:ascii="仿宋_GB2312" w:hAnsi="仿宋_GB2312" w:eastAsia="仿宋_GB2312" w:cs="仿宋_GB2312"/>
          <w:color w:val="auto"/>
          <w:sz w:val="32"/>
          <w:szCs w:val="32"/>
        </w:rPr>
        <w:t>。</w:t>
      </w:r>
    </w:p>
    <w:p w14:paraId="50323C3E">
      <w:pPr>
        <w:keepNext w:val="0"/>
        <w:keepLines w:val="0"/>
        <w:pageBreakBefore w:val="0"/>
        <w:widowControl w:val="0"/>
        <w:kinsoku/>
        <w:wordWrap/>
        <w:overflowPunct/>
        <w:topLinePunct w:val="0"/>
        <w:bidi w:val="0"/>
        <w:snapToGrid/>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上述事实，主要有以下证据证明：</w:t>
      </w:r>
    </w:p>
    <w:p w14:paraId="12C14E16">
      <w:pPr>
        <w:keepNext w:val="0"/>
        <w:keepLines w:val="0"/>
        <w:pageBreakBefore w:val="0"/>
        <w:numPr>
          <w:ilvl w:val="0"/>
          <w:numId w:val="0"/>
        </w:numPr>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Cs/>
          <w:color w:val="auto"/>
          <w:sz w:val="32"/>
          <w:szCs w:val="32"/>
        </w:rPr>
        <w:t>当事人的</w:t>
      </w:r>
      <w:r>
        <w:rPr>
          <w:rFonts w:hint="eastAsia" w:ascii="仿宋_GB2312" w:hAnsi="仿宋_GB2312" w:eastAsia="仿宋_GB2312" w:cs="仿宋_GB2312"/>
          <w:color w:val="auto"/>
          <w:sz w:val="32"/>
          <w:szCs w:val="32"/>
        </w:rPr>
        <w:t>《营业执照》复印件1份</w:t>
      </w:r>
      <w:r>
        <w:rPr>
          <w:rFonts w:hint="eastAsia" w:ascii="仿宋_GB2312" w:hAnsi="仿宋_GB2312" w:eastAsia="仿宋_GB2312" w:cs="仿宋_GB2312"/>
          <w:color w:val="auto"/>
          <w:sz w:val="32"/>
          <w:szCs w:val="32"/>
          <w:lang w:eastAsia="zh-CN"/>
        </w:rPr>
        <w:t>，经营者张鑫</w:t>
      </w:r>
      <w:r>
        <w:rPr>
          <w:rFonts w:hint="eastAsia" w:ascii="仿宋_GB2312" w:hAnsi="仿宋_GB2312" w:eastAsia="仿宋_GB2312" w:cs="仿宋_GB2312"/>
          <w:color w:val="auto"/>
          <w:kern w:val="0"/>
          <w:sz w:val="32"/>
          <w:szCs w:val="32"/>
          <w:lang w:eastAsia="zh-CN"/>
        </w:rPr>
        <w:t>身</w:t>
      </w:r>
      <w:r>
        <w:rPr>
          <w:rFonts w:hint="eastAsia" w:ascii="仿宋_GB2312" w:hAnsi="仿宋_GB2312" w:eastAsia="仿宋_GB2312" w:cs="仿宋_GB2312"/>
          <w:color w:val="auto"/>
          <w:sz w:val="32"/>
          <w:szCs w:val="32"/>
        </w:rPr>
        <w:t>份证复印件1份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证明当事人的主体资格和</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highlight w:val="none"/>
          <w:shd w:val="clear" w:color="auto" w:fill="auto"/>
        </w:rPr>
        <w:t>的身份信息。</w:t>
      </w:r>
    </w:p>
    <w:p w14:paraId="58616C77">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2.《现场笔录》1份，《询问笔录》1份，《检验报告》1份，《食品安全抽样检验结果通知书》1份，《食品安全抽样检验抽样单（食用农产品）》复印件1份，《食品安全抽样检验告知书》复印件1份，《证据提取单》5份，证明当事人存在经营镉（以Cd计）项目不符合GB 2762-2022《食品安全国家标准 食品中污染物限量》要求的茄子且采购上述茄子时未查验供货商的资质证明及食品合格证明文件，也未建立食用农产品进货查验记录，也未保存相关进货票据的事实。</w:t>
      </w:r>
    </w:p>
    <w:p w14:paraId="49B87A70">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u w:val="none" w:color="auto"/>
          <w:lang w:val="en-US" w:eastAsia="zh-CN"/>
        </w:rPr>
        <w:t>3.整改报告一份，证明当事人的整改情况。</w:t>
      </w:r>
    </w:p>
    <w:p w14:paraId="0614F69F">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color w:val="auto"/>
          <w:kern w:val="2"/>
          <w:sz w:val="32"/>
          <w:szCs w:val="32"/>
          <w:u w:val="none"/>
          <w:lang w:val="en-US" w:eastAsia="zh-CN" w:bidi="ar-SA"/>
        </w:rPr>
        <w:t>经营者</w:t>
      </w:r>
      <w:r>
        <w:rPr>
          <w:rFonts w:hint="eastAsia" w:ascii="仿宋_GB2312" w:hAnsi="仿宋_GB2312" w:eastAsia="仿宋_GB2312" w:cs="仿宋_GB2312"/>
          <w:color w:val="auto"/>
          <w:sz w:val="32"/>
          <w:szCs w:val="32"/>
        </w:rPr>
        <w:t>签名认可。</w:t>
      </w:r>
    </w:p>
    <w:p w14:paraId="24BECE05">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2026年1月15日我局向当事人送达了《行政处罚告知书》（柳北市监罚告〔2025〕372号），告知当事人我局拟作出行政处罚的事实、理由、依据、处罚内容及享有的权利。当事人在法定期限内未提出陈述、申辩。</w:t>
      </w:r>
    </w:p>
    <w:p w14:paraId="62CF4C77">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当事人采购上述茄子时未查验供货商的资质证明及食品合格证明文件的行为，违反了《中华人民共和国食品安全法》第五十三条第一款的规定，属于未按规定履行进货查验义务的行为。</w:t>
      </w:r>
    </w:p>
    <w:p w14:paraId="06B0FA8F">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当事人采购上述茄子时未建立食用农产品进货查验记录，也未保存相关进货票据的行为，违反了《中华人民共和国食品安全法》第六十五条的规定，属于未按规定建立食用农产品进货查验记录及保存相关凭证的行为。</w:t>
      </w:r>
    </w:p>
    <w:p w14:paraId="0D3351C4">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当事人经营上述茄子的行为，违反了《中华人民共和国食品安全法》第三十四条第二项的规定，属于经营重金属含量超过食品安全标准限量的食品的行为，货值金额为30元，违法所得为30元。</w:t>
      </w:r>
    </w:p>
    <w:p w14:paraId="7B1A712D">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当事人的经营场所为柳州市柳北区鸿聚综合农贸市场内的固定摊点，根据《广西壮族自治区食品安全条例》第八十五条第二款的规定，当事人属于食品摊贩，因此当事人的上述行为构成《广西壮族自治区食品小作坊小餐饮和食品摊贩管理条例》第二十八条第五项规定的违法行为。</w:t>
      </w:r>
    </w:p>
    <w:p w14:paraId="263F96C3">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依据《中华人民共和国食品安全法》第一百二十七条、《广西壮族自治区食品小作坊小餐饮和食品摊贩管理条例》第四十三条、《中华人民共和国行政处罚法》第二十八条第二款的规定，我局决定责令当事人立即改正上述违法行为，并给予以下行政处罚：</w:t>
      </w:r>
    </w:p>
    <w:p w14:paraId="7298D02F">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1.警告；</w:t>
      </w:r>
    </w:p>
    <w:p w14:paraId="2FA84B26">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rPr>
          <w:rFonts w:hint="eastAsia"/>
          <w:color w:val="auto"/>
          <w:lang w:val="en-US" w:eastAsia="zh-CN"/>
        </w:rPr>
      </w:pPr>
      <w:r>
        <w:rPr>
          <w:rFonts w:hint="eastAsia" w:ascii="仿宋_GB2312" w:hAnsi="仿宋_GB2312" w:eastAsia="仿宋_GB2312" w:cs="仿宋_GB2312"/>
          <w:color w:val="auto"/>
          <w:spacing w:val="0"/>
          <w:sz w:val="32"/>
          <w:szCs w:val="32"/>
          <w:u w:val="none"/>
          <w:lang w:val="en-US" w:eastAsia="zh-CN"/>
        </w:rPr>
        <w:t>2.没收违法所得30元。</w:t>
      </w:r>
    </w:p>
    <w:p w14:paraId="4F5AE6C3">
      <w:pPr>
        <w:keepNext w:val="0"/>
        <w:keepLines w:val="0"/>
        <w:pageBreakBefore w:val="0"/>
        <w:widowControl w:val="0"/>
        <w:kinsoku/>
        <w:wordWrap/>
        <w:overflowPunct/>
        <w:topLinePunct w:val="0"/>
        <w:bidi w:val="0"/>
        <w:snapToGrid/>
        <w:spacing w:line="440" w:lineRule="exact"/>
        <w:ind w:right="0" w:firstLine="640" w:firstLineChars="200"/>
        <w:jc w:val="left"/>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当事人应当自收到本行政处罚决定书之日起十五日内，凭《广西壮族自治区非税收入电子缴款通知书》到中国建设银行缴纳上述款项。逾期不缴纳的，依据《中华人民共和国行政处罚法》第七十二条的规定，我局将依法申请人民法院强制执行。</w:t>
      </w:r>
    </w:p>
    <w:p w14:paraId="331BB5F8">
      <w:pPr>
        <w:keepNext w:val="0"/>
        <w:keepLines w:val="0"/>
        <w:pageBreakBefore w:val="0"/>
        <w:widowControl w:val="0"/>
        <w:kinsoku/>
        <w:wordWrap/>
        <w:overflowPunct/>
        <w:topLinePunct w:val="0"/>
        <w:bidi w:val="0"/>
        <w:snapToGrid/>
        <w:spacing w:line="440" w:lineRule="exact"/>
        <w:ind w:right="0" w:firstLine="640" w:firstLineChars="200"/>
        <w:jc w:val="left"/>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当事人如不服本行政处罚决定，可以在接到本行政处罚决定书之日起60日内向柳州市柳北区人民政府申请行政复议；也可以在6个月内依法向柳州市柳南区人民法院提起行政诉讼。申请行政复议或者提起行政诉讼期间，行政处罚不停止执行。</w:t>
      </w:r>
    </w:p>
    <w:p w14:paraId="7394726C">
      <w:pPr>
        <w:pStyle w:val="2"/>
        <w:rPr>
          <w:rFonts w:hint="eastAsia" w:ascii="仿宋_GB2312" w:hAnsi="仿宋_GB2312" w:eastAsia="仿宋_GB2312" w:cs="仿宋_GB2312"/>
          <w:bCs/>
          <w:color w:val="auto"/>
          <w:sz w:val="32"/>
          <w:szCs w:val="32"/>
          <w:u w:val="none" w:color="auto"/>
          <w:lang w:val="en-US" w:eastAsia="zh-CN"/>
        </w:rPr>
      </w:pPr>
    </w:p>
    <w:p w14:paraId="0EA64165">
      <w:pPr>
        <w:pStyle w:val="2"/>
        <w:rPr>
          <w:rFonts w:hint="eastAsia" w:ascii="仿宋_GB2312" w:hAnsi="仿宋_GB2312" w:eastAsia="仿宋_GB2312" w:cs="仿宋_GB2312"/>
          <w:bCs/>
          <w:color w:val="auto"/>
          <w:sz w:val="32"/>
          <w:szCs w:val="32"/>
          <w:u w:val="none" w:color="auto"/>
          <w:lang w:val="en-US" w:eastAsia="zh-CN"/>
        </w:rPr>
      </w:pPr>
    </w:p>
    <w:p w14:paraId="103E3A6B">
      <w:pPr>
        <w:keepNext w:val="0"/>
        <w:keepLines w:val="0"/>
        <w:pageBreakBefore w:val="0"/>
        <w:widowControl w:val="0"/>
        <w:kinsoku/>
        <w:wordWrap/>
        <w:overflowPunct/>
        <w:topLinePunct w:val="0"/>
        <w:bidi w:val="0"/>
        <w:spacing w:line="480" w:lineRule="exact"/>
        <w:ind w:right="-94" w:rightChars="0" w:firstLine="601"/>
        <w:jc w:val="right"/>
        <w:textAlignment w:val="auto"/>
        <w:rPr>
          <w:rFonts w:hint="eastAsia" w:ascii="仿宋_GB2312" w:hAnsi="仿宋_GB2312" w:eastAsia="仿宋_GB2312" w:cs="仿宋_GB2312"/>
          <w:color w:val="auto"/>
          <w:spacing w:val="0"/>
          <w:sz w:val="32"/>
          <w:szCs w:val="32"/>
        </w:rPr>
      </w:pPr>
      <w:bookmarkStart w:id="1" w:name="DYNAMIC—DWXX—tAj_dwmc—0"/>
      <w:r>
        <w:rPr>
          <w:rFonts w:hint="eastAsia" w:ascii="仿宋_GB2312" w:hAnsi="仿宋_GB2312" w:eastAsia="仿宋_GB2312" w:cs="仿宋_GB2312"/>
          <w:bCs/>
          <w:color w:val="auto"/>
          <w:sz w:val="32"/>
          <w:szCs w:val="32"/>
          <w:u w:val="none" w:color="auto"/>
          <w:lang w:val="en-US" w:eastAsia="zh-CN"/>
        </w:rPr>
        <w:t xml:space="preserve">        </w:t>
      </w:r>
      <w:bookmarkEnd w:id="1"/>
      <w:r>
        <w:rPr>
          <w:rFonts w:hint="eastAsia" w:ascii="仿宋_GB2312" w:hAnsi="仿宋_GB2312" w:eastAsia="仿宋_GB2312" w:cs="仿宋_GB2312"/>
          <w:color w:val="auto"/>
          <w:spacing w:val="0"/>
          <w:sz w:val="32"/>
          <w:u w:val="none"/>
          <w:lang w:eastAsia="zh-CN"/>
        </w:rPr>
        <w:t>柳州市</w:t>
      </w:r>
      <w:r>
        <w:rPr>
          <w:rFonts w:hint="eastAsia" w:ascii="仿宋_GB2312" w:hAnsi="仿宋_GB2312" w:eastAsia="仿宋_GB2312" w:cs="仿宋_GB2312"/>
          <w:color w:val="auto"/>
          <w:spacing w:val="0"/>
          <w:sz w:val="32"/>
          <w:u w:val="none"/>
        </w:rPr>
        <w:t>柳北区市场监督管理局</w:t>
      </w:r>
      <w:r>
        <w:rPr>
          <w:rFonts w:hint="eastAsia" w:ascii="仿宋_GB2312" w:hAnsi="仿宋_GB2312" w:eastAsia="仿宋_GB2312" w:cs="仿宋_GB2312"/>
          <w:color w:val="auto"/>
          <w:spacing w:val="0"/>
          <w:sz w:val="32"/>
          <w:szCs w:val="32"/>
          <w:u w:val="none"/>
        </w:rPr>
        <w:t xml:space="preserve">   </w:t>
      </w:r>
    </w:p>
    <w:p w14:paraId="423D90B9">
      <w:pPr>
        <w:keepNext w:val="0"/>
        <w:keepLines w:val="0"/>
        <w:pageBreakBefore w:val="0"/>
        <w:widowControl w:val="0"/>
        <w:kinsoku/>
        <w:wordWrap/>
        <w:overflowPunct/>
        <w:topLinePunct w:val="0"/>
        <w:bidi w:val="0"/>
        <w:spacing w:line="480" w:lineRule="exact"/>
        <w:ind w:right="-94" w:rightChars="0" w:firstLine="5708" w:firstLineChars="1784"/>
        <w:jc w:val="left"/>
        <w:textAlignment w:val="auto"/>
        <w:rPr>
          <w:rFonts w:hint="eastAsia" w:ascii="Times New Roman" w:hAnsi="Times New Roman" w:eastAsia="仿宋_GB2312" w:cs="仿宋"/>
          <w:color w:val="auto"/>
          <w:spacing w:val="0"/>
          <w:sz w:val="32"/>
          <w:u w:val="none"/>
          <w:lang w:val="en-US" w:eastAsia="zh-CN"/>
        </w:rPr>
      </w:pPr>
      <w:bookmarkStart w:id="2" w:name="CALCULATE—TIME—NOW"/>
      <w:r>
        <w:rPr>
          <w:rFonts w:ascii="仿宋_GB2312" w:hAnsi="仿宋_GB2312" w:eastAsia="仿宋_GB2312" w:cs="仿宋_GB2312"/>
          <w:color w:val="auto"/>
          <w:sz w:val="32"/>
        </w:rPr>
        <w:t>2026年1月</w:t>
      </w:r>
      <w:r>
        <w:rPr>
          <w:rFonts w:hint="eastAsia" w:ascii="仿宋_GB2312" w:hAnsi="仿宋_GB2312" w:eastAsia="仿宋_GB2312" w:cs="仿宋_GB2312"/>
          <w:color w:val="auto"/>
          <w:sz w:val="32"/>
          <w:lang w:val="en-US" w:eastAsia="zh-CN"/>
        </w:rPr>
        <w:t>23</w:t>
      </w:r>
      <w:r>
        <w:rPr>
          <w:rFonts w:ascii="仿宋_GB2312" w:hAnsi="仿宋_GB2312" w:eastAsia="仿宋_GB2312" w:cs="仿宋_GB2312"/>
          <w:color w:val="auto"/>
          <w:sz w:val="32"/>
        </w:rPr>
        <w:t>日</w:t>
      </w:r>
      <w:bookmarkEnd w:id="2"/>
      <w:r>
        <w:rPr>
          <w:rFonts w:hint="eastAsia" w:ascii="Times New Roman" w:hAnsi="Times New Roman" w:eastAsia="仿宋_GB2312" w:cs="仿宋"/>
          <w:color w:val="auto"/>
          <w:spacing w:val="0"/>
          <w:sz w:val="32"/>
          <w:u w:val="none"/>
          <w:lang w:val="en-US" w:eastAsia="zh-CN"/>
        </w:rPr>
        <w:t xml:space="preserve"> </w:t>
      </w:r>
    </w:p>
    <w:p w14:paraId="6D30189F">
      <w:pPr>
        <w:pStyle w:val="2"/>
        <w:rPr>
          <w:rFonts w:hint="eastAsia" w:ascii="Times New Roman" w:hAnsi="Times New Roman" w:eastAsia="仿宋_GB2312" w:cs="仿宋"/>
          <w:color w:val="auto"/>
          <w:spacing w:val="0"/>
          <w:sz w:val="32"/>
          <w:u w:val="none"/>
          <w:lang w:val="en-US" w:eastAsia="zh-CN"/>
        </w:rPr>
      </w:pPr>
    </w:p>
    <w:p w14:paraId="74CE9637">
      <w:pPr>
        <w:pStyle w:val="2"/>
        <w:rPr>
          <w:rFonts w:hint="eastAsia" w:ascii="Times New Roman" w:hAnsi="Times New Roman" w:eastAsia="仿宋_GB2312" w:cs="仿宋"/>
          <w:color w:val="auto"/>
          <w:spacing w:val="0"/>
          <w:sz w:val="32"/>
          <w:u w:val="none"/>
          <w:lang w:val="en-US" w:eastAsia="zh-CN"/>
        </w:rPr>
      </w:pPr>
    </w:p>
    <w:p w14:paraId="5A5C12E8">
      <w:pPr>
        <w:pStyle w:val="2"/>
        <w:rPr>
          <w:rFonts w:hint="eastAsia" w:ascii="Times New Roman" w:hAnsi="Times New Roman" w:eastAsia="仿宋_GB2312" w:cs="仿宋"/>
          <w:color w:val="auto"/>
          <w:spacing w:val="0"/>
          <w:sz w:val="32"/>
          <w:u w:val="none"/>
          <w:lang w:val="en-US" w:eastAsia="zh-CN"/>
        </w:rPr>
      </w:pPr>
    </w:p>
    <w:p w14:paraId="36A2C2EF">
      <w:pPr>
        <w:pStyle w:val="2"/>
        <w:rPr>
          <w:rFonts w:hint="eastAsia" w:ascii="Times New Roman" w:hAnsi="Times New Roman" w:eastAsia="仿宋_GB2312" w:cs="仿宋"/>
          <w:color w:val="auto"/>
          <w:spacing w:val="0"/>
          <w:sz w:val="32"/>
          <w:u w:val="none"/>
          <w:lang w:val="en-US" w:eastAsia="zh-CN"/>
        </w:rPr>
      </w:pPr>
    </w:p>
    <w:p w14:paraId="6FDCFAF3">
      <w:pPr>
        <w:pStyle w:val="2"/>
        <w:keepNext w:val="0"/>
        <w:keepLines w:val="0"/>
        <w:pageBreakBefore w:val="0"/>
        <w:widowControl w:val="0"/>
        <w:kinsoku/>
        <w:wordWrap/>
        <w:overflowPunct/>
        <w:topLinePunct w:val="0"/>
        <w:bidi w:val="0"/>
        <w:snapToGrid/>
        <w:spacing w:line="480" w:lineRule="exact"/>
        <w:ind w:left="0" w:leftChars="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（市场监督管理部门将依法向社会公示本行政处罚决定信息）</w:t>
      </w:r>
    </w:p>
    <w:p w14:paraId="5F1937A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color w:val="auto"/>
          <w:sz w:val="32"/>
        </w:rPr>
        <w:pict>
          <v:line id="直线 2" o:spid="_x0000_s2051" o:spt="20" style="position:absolute;left:0pt;margin-left:1.1pt;margin-top:5.95pt;height:0.05pt;width:433.5pt;z-index:251660288;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Ftgmm/o&#10;AQAA3QMAAA4AAAAAAAAAAQAgAAAAIgEAAGRycy9lMm9Eb2MueG1sUEsFBgAAAAAGAAYAWQEAAHwF&#10;AAAAAA==&#10;">
            <v:path arrowok="t"/>
            <v:fill on="f" focussize="0,0"/>
            <v:stroke color="#000000" joinstyle="round"/>
            <v:imagedata o:title=""/>
            <o:lock v:ext="edit" aspectratio="f"/>
          </v:line>
        </w:pict>
      </w:r>
      <w:r>
        <w:rPr>
          <w:rFonts w:hint="eastAsia" w:ascii="仿宋_GB2312" w:hAnsi="仿宋_GB2312" w:eastAsia="仿宋_GB2312" w:cs="仿宋_GB2312"/>
          <w:color w:val="auto"/>
          <w:sz w:val="32"/>
        </w:rPr>
        <w:pict>
          <v:line id="直线 3" o:spid="_x0000_s2050" o:spt="20" style="position:absolute;left:0pt;margin-left:1.1pt;margin-top:5.95pt;height:0.05pt;width:433.5pt;z-index:251661312;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BTWV0Ho&#10;AQAA3QMAAA4AAAAAAAAAAQAgAAAAIgEAAGRycy9lMm9Eb2MueG1sUEsFBgAAAAAGAAYAWQEAAHwF&#10;AAAAAA==&#10;">
            <v:path arrowok="t"/>
            <v:fill on="f" focussize="0,0"/>
            <v:stroke color="#000000" joinstyle="round"/>
            <v:imagedata o:title=""/>
            <o:lock v:ext="edit" aspectratio="f"/>
          </v:line>
        </w:pict>
      </w:r>
      <w:r>
        <w:rPr>
          <w:rFonts w:hint="eastAsia" w:ascii="仿宋_GB2312" w:hAnsi="仿宋_GB2312" w:eastAsia="仿宋_GB2312" w:cs="仿宋_GB2312"/>
          <w:color w:val="auto"/>
          <w:sz w:val="32"/>
          <w:szCs w:val="32"/>
        </w:rPr>
        <w:t>本文书一式三份，一份送达，一份归档，一份办案机构留存。</w:t>
      </w:r>
    </w:p>
    <w:sectPr>
      <w:headerReference r:id="rId3" w:type="default"/>
      <w:footerReference r:id="rId4" w:type="default"/>
      <w:pgSz w:w="11906" w:h="16838"/>
      <w:pgMar w:top="1247" w:right="1417" w:bottom="1304"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F6FA">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BD3EB64">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C9D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5ZmI1NmM0NTFmZTU5ZDUyNjZiMTM4MjRlMDJmYTcifQ=="/>
    <w:docVar w:name="KSO_WPS_MARK_KEY" w:val="b74546ca-a398-4f87-9c69-6bec994220b1"/>
  </w:docVars>
  <w:rsids>
    <w:rsidRoot w:val="148273E2"/>
    <w:rsid w:val="000065F5"/>
    <w:rsid w:val="0004512F"/>
    <w:rsid w:val="00081F9C"/>
    <w:rsid w:val="00083C83"/>
    <w:rsid w:val="000B341C"/>
    <w:rsid w:val="001012C9"/>
    <w:rsid w:val="00142F2C"/>
    <w:rsid w:val="001C0503"/>
    <w:rsid w:val="00211B0C"/>
    <w:rsid w:val="00255EEE"/>
    <w:rsid w:val="002C2FAA"/>
    <w:rsid w:val="00357DAF"/>
    <w:rsid w:val="0036662C"/>
    <w:rsid w:val="00463B38"/>
    <w:rsid w:val="004B6721"/>
    <w:rsid w:val="00574F12"/>
    <w:rsid w:val="005E199B"/>
    <w:rsid w:val="005E309F"/>
    <w:rsid w:val="005F5BA5"/>
    <w:rsid w:val="006A6CB1"/>
    <w:rsid w:val="006C0007"/>
    <w:rsid w:val="006E7533"/>
    <w:rsid w:val="00704B12"/>
    <w:rsid w:val="0072741A"/>
    <w:rsid w:val="0074190D"/>
    <w:rsid w:val="00771A9E"/>
    <w:rsid w:val="0079623E"/>
    <w:rsid w:val="00817650"/>
    <w:rsid w:val="008739FF"/>
    <w:rsid w:val="008A0974"/>
    <w:rsid w:val="00955ECE"/>
    <w:rsid w:val="009C3AF3"/>
    <w:rsid w:val="00A62EC1"/>
    <w:rsid w:val="00B91F48"/>
    <w:rsid w:val="00BC4BAE"/>
    <w:rsid w:val="00BE07B0"/>
    <w:rsid w:val="00BE5339"/>
    <w:rsid w:val="00D05A34"/>
    <w:rsid w:val="00D82DEA"/>
    <w:rsid w:val="00D866B1"/>
    <w:rsid w:val="00DB475D"/>
    <w:rsid w:val="00DD449C"/>
    <w:rsid w:val="00DD743A"/>
    <w:rsid w:val="00E3129E"/>
    <w:rsid w:val="00EA4461"/>
    <w:rsid w:val="00F26908"/>
    <w:rsid w:val="00FC6549"/>
    <w:rsid w:val="00FD11C5"/>
    <w:rsid w:val="00FE2746"/>
    <w:rsid w:val="015C4E4C"/>
    <w:rsid w:val="017862EE"/>
    <w:rsid w:val="02AD34F4"/>
    <w:rsid w:val="031D702B"/>
    <w:rsid w:val="0328798D"/>
    <w:rsid w:val="04392B35"/>
    <w:rsid w:val="04E43113"/>
    <w:rsid w:val="05F332D1"/>
    <w:rsid w:val="062A0A13"/>
    <w:rsid w:val="06636B00"/>
    <w:rsid w:val="06F651DB"/>
    <w:rsid w:val="07C95455"/>
    <w:rsid w:val="09611CF3"/>
    <w:rsid w:val="0AE4006C"/>
    <w:rsid w:val="0BB57D6B"/>
    <w:rsid w:val="0CB213C1"/>
    <w:rsid w:val="0CB74E19"/>
    <w:rsid w:val="0CBD0903"/>
    <w:rsid w:val="0D6177ED"/>
    <w:rsid w:val="0DA71FDE"/>
    <w:rsid w:val="0DAF7C51"/>
    <w:rsid w:val="0DBF10BD"/>
    <w:rsid w:val="0E3771A3"/>
    <w:rsid w:val="0F4749E2"/>
    <w:rsid w:val="0F525A05"/>
    <w:rsid w:val="108500DE"/>
    <w:rsid w:val="117B63A4"/>
    <w:rsid w:val="11BD5D75"/>
    <w:rsid w:val="12BF2650"/>
    <w:rsid w:val="12DE2F04"/>
    <w:rsid w:val="134617C9"/>
    <w:rsid w:val="13F30D47"/>
    <w:rsid w:val="13FA7F80"/>
    <w:rsid w:val="14277F1E"/>
    <w:rsid w:val="143F60A1"/>
    <w:rsid w:val="148273E2"/>
    <w:rsid w:val="15064605"/>
    <w:rsid w:val="15892AE3"/>
    <w:rsid w:val="1595472F"/>
    <w:rsid w:val="15AA17EA"/>
    <w:rsid w:val="15DB1A7E"/>
    <w:rsid w:val="16264708"/>
    <w:rsid w:val="17E1120B"/>
    <w:rsid w:val="17EB2D91"/>
    <w:rsid w:val="184F057B"/>
    <w:rsid w:val="189C466F"/>
    <w:rsid w:val="19221846"/>
    <w:rsid w:val="19297756"/>
    <w:rsid w:val="19682ABE"/>
    <w:rsid w:val="1A690B1E"/>
    <w:rsid w:val="1A745652"/>
    <w:rsid w:val="1AA55913"/>
    <w:rsid w:val="1AAB7A25"/>
    <w:rsid w:val="1AE96D67"/>
    <w:rsid w:val="1B3874B6"/>
    <w:rsid w:val="1B625FC1"/>
    <w:rsid w:val="1B8A02C6"/>
    <w:rsid w:val="1C0F2E75"/>
    <w:rsid w:val="1C191BC6"/>
    <w:rsid w:val="1C220723"/>
    <w:rsid w:val="1C6A0B2D"/>
    <w:rsid w:val="1C9158C1"/>
    <w:rsid w:val="1CB15DE2"/>
    <w:rsid w:val="1D376F7C"/>
    <w:rsid w:val="1E376B1E"/>
    <w:rsid w:val="1E5B441F"/>
    <w:rsid w:val="1EB52C70"/>
    <w:rsid w:val="1EB96323"/>
    <w:rsid w:val="1F161646"/>
    <w:rsid w:val="1F277B5E"/>
    <w:rsid w:val="1F3603BC"/>
    <w:rsid w:val="1F3E2D68"/>
    <w:rsid w:val="1F4849A4"/>
    <w:rsid w:val="1F4D1EE3"/>
    <w:rsid w:val="1F9E445E"/>
    <w:rsid w:val="20125CE0"/>
    <w:rsid w:val="20154E0E"/>
    <w:rsid w:val="208244E5"/>
    <w:rsid w:val="209122D7"/>
    <w:rsid w:val="20CA15D4"/>
    <w:rsid w:val="210B577A"/>
    <w:rsid w:val="2171636C"/>
    <w:rsid w:val="23383DAC"/>
    <w:rsid w:val="23D200D4"/>
    <w:rsid w:val="23E34743"/>
    <w:rsid w:val="24531927"/>
    <w:rsid w:val="24924C8F"/>
    <w:rsid w:val="24E55852"/>
    <w:rsid w:val="25207D76"/>
    <w:rsid w:val="255D34FA"/>
    <w:rsid w:val="255E30DE"/>
    <w:rsid w:val="25912C02"/>
    <w:rsid w:val="25BC7BF5"/>
    <w:rsid w:val="26603C6E"/>
    <w:rsid w:val="26B87CE7"/>
    <w:rsid w:val="26BA3467"/>
    <w:rsid w:val="27D00EE0"/>
    <w:rsid w:val="28940DAE"/>
    <w:rsid w:val="28E76E28"/>
    <w:rsid w:val="2941559E"/>
    <w:rsid w:val="297B6BA3"/>
    <w:rsid w:val="299327C4"/>
    <w:rsid w:val="299E6AAB"/>
    <w:rsid w:val="29A2079E"/>
    <w:rsid w:val="29D3130E"/>
    <w:rsid w:val="29DF4E41"/>
    <w:rsid w:val="2A222295"/>
    <w:rsid w:val="2A7A5040"/>
    <w:rsid w:val="2AFD6B9E"/>
    <w:rsid w:val="2B157B4F"/>
    <w:rsid w:val="2B3015D6"/>
    <w:rsid w:val="2B424F07"/>
    <w:rsid w:val="2B6E32AC"/>
    <w:rsid w:val="2B9D65E3"/>
    <w:rsid w:val="2C13787F"/>
    <w:rsid w:val="2C1724E2"/>
    <w:rsid w:val="2C257A64"/>
    <w:rsid w:val="2C421DD7"/>
    <w:rsid w:val="2C571253"/>
    <w:rsid w:val="2C7F6960"/>
    <w:rsid w:val="2CA1772C"/>
    <w:rsid w:val="2CA70D16"/>
    <w:rsid w:val="2CF1764D"/>
    <w:rsid w:val="2D002F4F"/>
    <w:rsid w:val="2D19039D"/>
    <w:rsid w:val="2D1C6BF7"/>
    <w:rsid w:val="2D6514FE"/>
    <w:rsid w:val="2D9C177A"/>
    <w:rsid w:val="2F2B20C6"/>
    <w:rsid w:val="2F386C07"/>
    <w:rsid w:val="301D017F"/>
    <w:rsid w:val="30BD5513"/>
    <w:rsid w:val="30E338A2"/>
    <w:rsid w:val="31091780"/>
    <w:rsid w:val="31DC529A"/>
    <w:rsid w:val="323E5D53"/>
    <w:rsid w:val="325166E9"/>
    <w:rsid w:val="332500F7"/>
    <w:rsid w:val="33535743"/>
    <w:rsid w:val="338B331E"/>
    <w:rsid w:val="3457176D"/>
    <w:rsid w:val="34792FA7"/>
    <w:rsid w:val="35247BBC"/>
    <w:rsid w:val="35D65462"/>
    <w:rsid w:val="35FC3C1B"/>
    <w:rsid w:val="371F7D71"/>
    <w:rsid w:val="37AE5DAC"/>
    <w:rsid w:val="37EF7C5B"/>
    <w:rsid w:val="38410328"/>
    <w:rsid w:val="390D0746"/>
    <w:rsid w:val="39794D00"/>
    <w:rsid w:val="3A491FD6"/>
    <w:rsid w:val="3AEC6E29"/>
    <w:rsid w:val="3C297ADF"/>
    <w:rsid w:val="3CF8256F"/>
    <w:rsid w:val="3D7B0D01"/>
    <w:rsid w:val="3D934D6E"/>
    <w:rsid w:val="3DE843F8"/>
    <w:rsid w:val="3E032EB7"/>
    <w:rsid w:val="3E0E1C40"/>
    <w:rsid w:val="3E376AA4"/>
    <w:rsid w:val="3EBB37DF"/>
    <w:rsid w:val="3F1C0717"/>
    <w:rsid w:val="3F2A4B8B"/>
    <w:rsid w:val="41007633"/>
    <w:rsid w:val="416F2CA3"/>
    <w:rsid w:val="41711ECE"/>
    <w:rsid w:val="41724B42"/>
    <w:rsid w:val="41CE2515"/>
    <w:rsid w:val="41DF1A8D"/>
    <w:rsid w:val="42330CA9"/>
    <w:rsid w:val="4257288A"/>
    <w:rsid w:val="4291797E"/>
    <w:rsid w:val="4326283B"/>
    <w:rsid w:val="433340CF"/>
    <w:rsid w:val="4364489E"/>
    <w:rsid w:val="436D237B"/>
    <w:rsid w:val="43A1297A"/>
    <w:rsid w:val="43FA7BFE"/>
    <w:rsid w:val="443378C9"/>
    <w:rsid w:val="44C07632"/>
    <w:rsid w:val="44E542DA"/>
    <w:rsid w:val="451218A7"/>
    <w:rsid w:val="452A7C4D"/>
    <w:rsid w:val="461F1F60"/>
    <w:rsid w:val="46943C0F"/>
    <w:rsid w:val="47A97AA1"/>
    <w:rsid w:val="47BE6742"/>
    <w:rsid w:val="47EC3EAF"/>
    <w:rsid w:val="47F37382"/>
    <w:rsid w:val="4A207916"/>
    <w:rsid w:val="4A4D113D"/>
    <w:rsid w:val="4C3E6663"/>
    <w:rsid w:val="4C914A2C"/>
    <w:rsid w:val="4D1107FD"/>
    <w:rsid w:val="4DA93FB0"/>
    <w:rsid w:val="4DC360A2"/>
    <w:rsid w:val="4DD5222C"/>
    <w:rsid w:val="4E3B7EB0"/>
    <w:rsid w:val="4E9E6D0A"/>
    <w:rsid w:val="4EB80EAB"/>
    <w:rsid w:val="4F3E18EA"/>
    <w:rsid w:val="4F7324E1"/>
    <w:rsid w:val="4F961F9E"/>
    <w:rsid w:val="4FD74F00"/>
    <w:rsid w:val="4FEB2D6E"/>
    <w:rsid w:val="503468E2"/>
    <w:rsid w:val="50B5429E"/>
    <w:rsid w:val="51033A93"/>
    <w:rsid w:val="5151276C"/>
    <w:rsid w:val="51A716B6"/>
    <w:rsid w:val="51C904BB"/>
    <w:rsid w:val="523A1FC6"/>
    <w:rsid w:val="53E923EE"/>
    <w:rsid w:val="53EB5322"/>
    <w:rsid w:val="53FC7230"/>
    <w:rsid w:val="540632E9"/>
    <w:rsid w:val="544E6F61"/>
    <w:rsid w:val="5473232C"/>
    <w:rsid w:val="549E3B5B"/>
    <w:rsid w:val="55763B22"/>
    <w:rsid w:val="558F13A6"/>
    <w:rsid w:val="55BA5430"/>
    <w:rsid w:val="566278C5"/>
    <w:rsid w:val="56A62938"/>
    <w:rsid w:val="56E255DB"/>
    <w:rsid w:val="574B68BA"/>
    <w:rsid w:val="582740A9"/>
    <w:rsid w:val="58A73382"/>
    <w:rsid w:val="591521C8"/>
    <w:rsid w:val="592077C9"/>
    <w:rsid w:val="593F74A4"/>
    <w:rsid w:val="5953349B"/>
    <w:rsid w:val="597A3332"/>
    <w:rsid w:val="599F5B19"/>
    <w:rsid w:val="59B966C3"/>
    <w:rsid w:val="5A731374"/>
    <w:rsid w:val="5AFF3EF1"/>
    <w:rsid w:val="5CBD218A"/>
    <w:rsid w:val="5CC36333"/>
    <w:rsid w:val="5D242D13"/>
    <w:rsid w:val="5D592F21"/>
    <w:rsid w:val="5F9F2A6C"/>
    <w:rsid w:val="5FFE682B"/>
    <w:rsid w:val="604A68E0"/>
    <w:rsid w:val="60CC2CDD"/>
    <w:rsid w:val="61284DEA"/>
    <w:rsid w:val="61544F71"/>
    <w:rsid w:val="616650DA"/>
    <w:rsid w:val="61E70572"/>
    <w:rsid w:val="637F3FE6"/>
    <w:rsid w:val="63E72995"/>
    <w:rsid w:val="648A6BE8"/>
    <w:rsid w:val="657135A3"/>
    <w:rsid w:val="657D4ABD"/>
    <w:rsid w:val="66DE4873"/>
    <w:rsid w:val="67261A9A"/>
    <w:rsid w:val="688A1A9D"/>
    <w:rsid w:val="688D0641"/>
    <w:rsid w:val="691D477F"/>
    <w:rsid w:val="699E35BB"/>
    <w:rsid w:val="69F44464"/>
    <w:rsid w:val="6A014483"/>
    <w:rsid w:val="6A22066F"/>
    <w:rsid w:val="6A3142C9"/>
    <w:rsid w:val="6A3A7FB1"/>
    <w:rsid w:val="6B8D0D02"/>
    <w:rsid w:val="6C0F4EEF"/>
    <w:rsid w:val="6C1134DA"/>
    <w:rsid w:val="6C5808AF"/>
    <w:rsid w:val="6D954C42"/>
    <w:rsid w:val="6DAD60FE"/>
    <w:rsid w:val="6E725242"/>
    <w:rsid w:val="6E8F6D71"/>
    <w:rsid w:val="6ECD22C1"/>
    <w:rsid w:val="6EEE43BE"/>
    <w:rsid w:val="6F7B3B73"/>
    <w:rsid w:val="6F855001"/>
    <w:rsid w:val="6FCB74A9"/>
    <w:rsid w:val="7028360F"/>
    <w:rsid w:val="70966D10"/>
    <w:rsid w:val="70A82C64"/>
    <w:rsid w:val="70C34251"/>
    <w:rsid w:val="7135211F"/>
    <w:rsid w:val="71365A01"/>
    <w:rsid w:val="71A06C04"/>
    <w:rsid w:val="71F667BD"/>
    <w:rsid w:val="72175D9C"/>
    <w:rsid w:val="72740C55"/>
    <w:rsid w:val="72A509A5"/>
    <w:rsid w:val="72B92643"/>
    <w:rsid w:val="72D355FA"/>
    <w:rsid w:val="731F7D8E"/>
    <w:rsid w:val="73AA52D4"/>
    <w:rsid w:val="73DE1526"/>
    <w:rsid w:val="73EF5F44"/>
    <w:rsid w:val="74BE07C3"/>
    <w:rsid w:val="74CD4654"/>
    <w:rsid w:val="778B637C"/>
    <w:rsid w:val="780B0124"/>
    <w:rsid w:val="780E5495"/>
    <w:rsid w:val="782C62B8"/>
    <w:rsid w:val="785D036F"/>
    <w:rsid w:val="787616BF"/>
    <w:rsid w:val="78A7237F"/>
    <w:rsid w:val="78BF6934"/>
    <w:rsid w:val="7907149F"/>
    <w:rsid w:val="790C18B2"/>
    <w:rsid w:val="79666822"/>
    <w:rsid w:val="796A4AAB"/>
    <w:rsid w:val="79714248"/>
    <w:rsid w:val="798A2050"/>
    <w:rsid w:val="79965BD7"/>
    <w:rsid w:val="79995F47"/>
    <w:rsid w:val="79EF5412"/>
    <w:rsid w:val="7A9F6060"/>
    <w:rsid w:val="7AB349DD"/>
    <w:rsid w:val="7AB81C3A"/>
    <w:rsid w:val="7B19712B"/>
    <w:rsid w:val="7B3A48B6"/>
    <w:rsid w:val="7C8232CF"/>
    <w:rsid w:val="7C8548D8"/>
    <w:rsid w:val="7CCB6FCD"/>
    <w:rsid w:val="7E635C01"/>
    <w:rsid w:val="7E662974"/>
    <w:rsid w:val="7E847639"/>
    <w:rsid w:val="7EAF4003"/>
    <w:rsid w:val="7ED607F9"/>
    <w:rsid w:val="7F3F44B7"/>
    <w:rsid w:val="7FEE13F2"/>
    <w:rsid w:val="7FFD0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29"/>
    <w:qFormat/>
    <w:uiPriority w:val="0"/>
    <w:pPr>
      <w:tabs>
        <w:tab w:val="center" w:pos="4153"/>
        <w:tab w:val="right" w:pos="8306"/>
      </w:tabs>
      <w:snapToGrid w:val="0"/>
      <w:jc w:val="left"/>
    </w:pPr>
    <w:rPr>
      <w:sz w:val="18"/>
      <w:szCs w:val="18"/>
    </w:rPr>
  </w:style>
  <w:style w:type="paragraph" w:styleId="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x-tab-strip-text"/>
    <w:basedOn w:val="7"/>
    <w:qFormat/>
    <w:uiPriority w:val="0"/>
    <w:rPr>
      <w:color w:val="111111"/>
    </w:rPr>
  </w:style>
  <w:style w:type="character" w:customStyle="1" w:styleId="19">
    <w:name w:val="x-tab-strip-text1"/>
    <w:basedOn w:val="7"/>
    <w:qFormat/>
    <w:uiPriority w:val="0"/>
  </w:style>
  <w:style w:type="character" w:customStyle="1" w:styleId="20">
    <w:name w:val="x-tab-strip-text2"/>
    <w:basedOn w:val="7"/>
    <w:qFormat/>
    <w:uiPriority w:val="0"/>
    <w:rPr>
      <w:rFonts w:hint="eastAsia" w:ascii="宋体" w:hAnsi="宋体" w:eastAsia="宋体" w:cs="宋体"/>
      <w:color w:val="333333"/>
      <w:sz w:val="21"/>
      <w:szCs w:val="21"/>
    </w:rPr>
  </w:style>
  <w:style w:type="character" w:customStyle="1" w:styleId="21">
    <w:name w:val="x-tab-strip-text3"/>
    <w:basedOn w:val="7"/>
    <w:qFormat/>
    <w:uiPriority w:val="0"/>
  </w:style>
  <w:style w:type="character" w:customStyle="1" w:styleId="22">
    <w:name w:val="x-tab-strip-text4"/>
    <w:basedOn w:val="7"/>
    <w:qFormat/>
    <w:uiPriority w:val="0"/>
    <w:rPr>
      <w:b/>
      <w:color w:val="15428B"/>
    </w:rPr>
  </w:style>
  <w:style w:type="character" w:customStyle="1" w:styleId="23">
    <w:name w:val="x-tab-strip-text5"/>
    <w:basedOn w:val="7"/>
    <w:qFormat/>
    <w:uiPriority w:val="0"/>
  </w:style>
  <w:style w:type="character" w:customStyle="1" w:styleId="24">
    <w:name w:val="active1"/>
    <w:basedOn w:val="7"/>
    <w:qFormat/>
    <w:uiPriority w:val="0"/>
    <w:rPr>
      <w:color w:val="00FF00"/>
      <w:shd w:val="clear" w:color="auto" w:fill="000000"/>
    </w:rPr>
  </w:style>
  <w:style w:type="character" w:customStyle="1" w:styleId="25">
    <w:name w:val="hilite6"/>
    <w:basedOn w:val="7"/>
    <w:qFormat/>
    <w:uiPriority w:val="0"/>
    <w:rPr>
      <w:color w:val="FFFFFF"/>
      <w:shd w:val="clear" w:color="auto" w:fill="886666"/>
    </w:rPr>
  </w:style>
  <w:style w:type="character" w:customStyle="1" w:styleId="26">
    <w:name w:val="active7"/>
    <w:basedOn w:val="7"/>
    <w:qFormat/>
    <w:uiPriority w:val="0"/>
    <w:rPr>
      <w:color w:val="00FF00"/>
      <w:shd w:val="clear" w:color="auto" w:fill="000000"/>
    </w:rPr>
  </w:style>
  <w:style w:type="character" w:customStyle="1" w:styleId="27">
    <w:name w:val="hilite5"/>
    <w:basedOn w:val="7"/>
    <w:qFormat/>
    <w:uiPriority w:val="0"/>
    <w:rPr>
      <w:color w:val="FFFFFF"/>
      <w:shd w:val="clear" w:color="auto" w:fill="886666"/>
    </w:rPr>
  </w:style>
  <w:style w:type="character" w:customStyle="1" w:styleId="28">
    <w:name w:val="页眉 Char"/>
    <w:basedOn w:val="7"/>
    <w:link w:val="4"/>
    <w:qFormat/>
    <w:uiPriority w:val="0"/>
    <w:rPr>
      <w:rFonts w:asciiTheme="minorHAnsi" w:hAnsiTheme="minorHAnsi" w:eastAsiaTheme="minorEastAsia" w:cstheme="minorBidi"/>
      <w:kern w:val="2"/>
      <w:sz w:val="18"/>
      <w:szCs w:val="18"/>
    </w:rPr>
  </w:style>
  <w:style w:type="character" w:customStyle="1" w:styleId="2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1776</Words>
  <Characters>1895</Characters>
  <Lines>11</Lines>
  <Paragraphs>3</Paragraphs>
  <TotalTime>2</TotalTime>
  <ScaleCrop>false</ScaleCrop>
  <LinksUpToDate>false</LinksUpToDate>
  <CharactersWithSpaces>1916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2019-06-18T07:59:00Z</dcterms:created>
  <dc:creator>Judy~</dc:creator>
  <cp:lastModifiedBy>河谷镇</cp:lastModifiedBy>
  <cp:lastPrinted>2020-09-15T09:45:00Z</cp:lastPrinted>
  <dcterms:modified xsi:type="dcterms:W3CDTF">2026-01-26T01:02:09Z</dcterms:modified>
  <dc:title>柳州市柳北区市场监督管理局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F754B56C02BD438EA8301216B6C6F1AC</vt:lpwstr>
  </property>
  <property fmtid="{D5CDD505-2E9C-101B-9397-08002B2CF9AE}" pid="4" name="KSOTemplateDocerSaveRecord">
    <vt:lpwstr>eyJoZGlkIjoiNjljYzBiNmJkNjNmYjA3MDkwNzQ4ZTM5NDc1MTY5NDgiLCJ1c2VySWQiOiI0OTg3NTAzNTcifQ==</vt:lpwstr>
  </property>
</Properties>
</file>