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B1B2F">
      <w:pPr>
        <w:keepNext w:val="0"/>
        <w:keepLines w:val="0"/>
        <w:pageBreakBefore w:val="0"/>
        <w:widowControl w:val="0"/>
        <w:kinsoku/>
        <w:wordWrap/>
        <w:overflowPunct/>
        <w:topLinePunct w:val="0"/>
        <w:bidi w:val="0"/>
        <w:spacing w:line="4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柳州市柳北区市场监督管理局</w:t>
      </w:r>
    </w:p>
    <w:p w14:paraId="535AD787">
      <w:pPr>
        <w:keepNext w:val="0"/>
        <w:keepLines w:val="0"/>
        <w:pageBreakBefore w:val="0"/>
        <w:widowControl w:val="0"/>
        <w:tabs>
          <w:tab w:val="left" w:pos="1649"/>
          <w:tab w:val="center" w:pos="4596"/>
        </w:tabs>
        <w:kinsoku/>
        <w:wordWrap/>
        <w:overflowPunct/>
        <w:topLinePunct w:val="0"/>
        <w:bidi w:val="0"/>
        <w:spacing w:line="440" w:lineRule="exact"/>
        <w:jc w:val="left"/>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lang w:eastAsia="zh-CN"/>
        </w:rPr>
        <w:tab/>
      </w:r>
      <w:r>
        <w:rPr>
          <w:rFonts w:hint="eastAsia" w:ascii="方正小标宋简体" w:hAnsi="方正小标宋简体" w:eastAsia="方正小标宋简体" w:cs="方正小标宋简体"/>
          <w:color w:val="auto"/>
          <w:sz w:val="44"/>
          <w:szCs w:val="44"/>
        </w:rPr>
        <w:t>行政处罚决定书</w:t>
      </w:r>
    </w:p>
    <w:p w14:paraId="5D7E43A4">
      <w:pPr>
        <w:keepNext w:val="0"/>
        <w:keepLines w:val="0"/>
        <w:pageBreakBefore w:val="0"/>
        <w:widowControl w:val="0"/>
        <w:kinsoku/>
        <w:wordWrap/>
        <w:overflowPunct/>
        <w:topLinePunct w:val="0"/>
        <w:autoSpaceDE/>
        <w:autoSpaceDN/>
        <w:bidi w:val="0"/>
        <w:snapToGrid/>
        <w:spacing w:line="440" w:lineRule="exact"/>
        <w:ind w:left="0" w:left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柳北市监</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罚〔202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12 </w:t>
      </w:r>
      <w:r>
        <w:rPr>
          <w:rFonts w:hint="eastAsia" w:ascii="仿宋_GB2312" w:hAnsi="仿宋_GB2312" w:eastAsia="仿宋_GB2312" w:cs="仿宋_GB2312"/>
          <w:color w:val="auto"/>
          <w:sz w:val="32"/>
          <w:szCs w:val="32"/>
        </w:rPr>
        <w:t>号</w:t>
      </w:r>
    </w:p>
    <w:p w14:paraId="381F2D85">
      <w:pPr>
        <w:keepNext w:val="0"/>
        <w:keepLines w:val="0"/>
        <w:pageBreakBefore w:val="0"/>
        <w:widowControl w:val="0"/>
        <w:kinsoku/>
        <w:wordWrap/>
        <w:overflowPunct/>
        <w:topLinePunct w:val="0"/>
        <w:autoSpaceDE/>
        <w:autoSpaceDN/>
        <w:bidi w:val="0"/>
        <w:adjustRightInd w:val="0"/>
        <w:snapToGrid/>
        <w:spacing w:line="440" w:lineRule="exact"/>
        <w:ind w:left="0" w:leftChars="0" w:right="233" w:rightChars="111"/>
        <w:textAlignment w:val="baseline"/>
        <w:rPr>
          <w:rFonts w:hint="eastAsia" w:ascii="仿宋_GB2312" w:hAnsi="仿宋_GB2312" w:eastAsia="仿宋_GB2312" w:cs="仿宋_GB2312"/>
          <w:color w:val="auto"/>
          <w:sz w:val="32"/>
          <w:szCs w:val="32"/>
        </w:rPr>
      </w:pPr>
    </w:p>
    <w:p w14:paraId="647E0E91">
      <w:pPr>
        <w:keepNext w:val="0"/>
        <w:keepLines w:val="0"/>
        <w:pageBreakBefore w:val="0"/>
        <w:widowControl w:val="0"/>
        <w:kinsoku/>
        <w:wordWrap/>
        <w:overflowPunct/>
        <w:topLinePunct w:val="0"/>
        <w:bidi w:val="0"/>
        <w:adjustRightInd w:val="0"/>
        <w:snapToGrid/>
        <w:spacing w:line="400" w:lineRule="exact"/>
        <w:ind w:right="233" w:rightChars="111"/>
        <w:textAlignment w:val="baseline"/>
        <w:rPr>
          <w:color w:val="auto"/>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lang w:eastAsia="zh-CN"/>
        </w:rPr>
        <w:t>曾雄平</w:t>
      </w:r>
    </w:p>
    <w:p w14:paraId="2F5A668A">
      <w:pPr>
        <w:keepNext w:val="0"/>
        <w:keepLines w:val="0"/>
        <w:pageBreakBefore w:val="0"/>
        <w:widowControl w:val="0"/>
        <w:kinsoku/>
        <w:wordWrap/>
        <w:overflowPunct/>
        <w:topLinePunct w:val="0"/>
        <w:bidi w:val="0"/>
        <w:adjustRightInd w:val="0"/>
        <w:snapToGrid/>
        <w:spacing w:line="400" w:lineRule="exact"/>
        <w:ind w:right="233" w:rightChars="111"/>
        <w:textAlignment w:val="baseline"/>
        <w:rPr>
          <w:rFonts w:hint="eastAsia" w:ascii="仿宋_GB2312" w:hAnsi="仿宋_GB2312" w:eastAsia="仿宋_GB2312" w:cs="仿宋_GB2312"/>
          <w:bCs/>
          <w:color w:val="auto"/>
          <w:kern w:val="0"/>
          <w:sz w:val="32"/>
          <w:szCs w:val="32"/>
          <w:lang w:val="en-US" w:eastAsia="zh-CN" w:bidi="ar-SA"/>
        </w:rPr>
      </w:pPr>
      <w:r>
        <w:rPr>
          <w:rFonts w:hint="eastAsia" w:ascii="仿宋_GB2312" w:hAnsi="仿宋_GB2312" w:eastAsia="仿宋_GB2312" w:cs="仿宋_GB2312"/>
          <w:color w:val="auto"/>
          <w:sz w:val="32"/>
          <w:szCs w:val="32"/>
        </w:rPr>
        <w:t>主体资格证照名称：</w:t>
      </w:r>
      <w:r>
        <w:rPr>
          <w:rFonts w:hint="eastAsia" w:ascii="仿宋_GB2312" w:hAnsi="仿宋_GB2312" w:eastAsia="仿宋_GB2312" w:cs="仿宋_GB2312"/>
          <w:bCs/>
          <w:color w:val="auto"/>
          <w:kern w:val="0"/>
          <w:sz w:val="32"/>
          <w:szCs w:val="32"/>
          <w:lang w:val="en-US" w:eastAsia="zh-CN" w:bidi="ar-SA"/>
        </w:rPr>
        <w:t>营业执照</w:t>
      </w:r>
    </w:p>
    <w:p w14:paraId="46A173EE">
      <w:pPr>
        <w:pStyle w:val="2"/>
        <w:keepNext w:val="0"/>
        <w:keepLines w:val="0"/>
        <w:pageBreakBefore w:val="0"/>
        <w:widowControl w:val="0"/>
        <w:kinsoku/>
        <w:wordWrap/>
        <w:overflowPunct/>
        <w:topLinePunct w:val="0"/>
        <w:bidi w:val="0"/>
        <w:snapToGrid/>
        <w:spacing w:line="48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统一社会信用代码：</w:t>
      </w:r>
      <w:r>
        <w:rPr>
          <w:rFonts w:hint="eastAsia" w:ascii="仿宋_GB2312" w:hAnsi="仿宋" w:eastAsia="仿宋_GB2312" w:cs="仿宋"/>
          <w:color w:val="auto"/>
          <w:sz w:val="32"/>
          <w:szCs w:val="32"/>
        </w:rPr>
        <w:t>92450205MABWF06L8M</w:t>
      </w:r>
    </w:p>
    <w:p w14:paraId="5990171D">
      <w:pPr>
        <w:keepNext w:val="0"/>
        <w:keepLines w:val="0"/>
        <w:pageBreakBefore w:val="0"/>
        <w:widowControl w:val="0"/>
        <w:kinsoku/>
        <w:wordWrap/>
        <w:overflowPunct/>
        <w:topLinePunct w:val="0"/>
        <w:bidi w:val="0"/>
        <w:adjustRightInd w:val="0"/>
        <w:snapToGrid/>
        <w:spacing w:line="400" w:lineRule="exact"/>
        <w:ind w:right="233" w:rightChars="111"/>
        <w:textAlignment w:val="baseline"/>
        <w:rPr>
          <w:rFonts w:hint="eastAsia" w:ascii="仿宋_GB2312" w:hAnsi="仿宋" w:eastAsia="仿宋_GB2312" w:cs="仿宋"/>
          <w:bCs/>
          <w:color w:val="auto"/>
          <w:sz w:val="32"/>
          <w:szCs w:val="32"/>
          <w:lang w:eastAsia="zh-CN"/>
        </w:rPr>
      </w:pPr>
      <w:r>
        <w:rPr>
          <w:rFonts w:hint="eastAsia" w:ascii="仿宋_GB2312" w:hAnsi="仿宋" w:eastAsia="仿宋_GB2312" w:cs="仿宋"/>
          <w:color w:val="auto"/>
          <w:sz w:val="32"/>
          <w:szCs w:val="32"/>
          <w:lang w:eastAsia="zh-CN"/>
        </w:rPr>
        <w:t>经营场所：</w:t>
      </w:r>
      <w:bookmarkStart w:id="0" w:name="OLE_LINK1"/>
      <w:r>
        <w:rPr>
          <w:rFonts w:hint="eastAsia" w:ascii="仿宋_GB2312" w:hAnsi="仿宋" w:eastAsia="仿宋_GB2312" w:cs="仿宋"/>
          <w:color w:val="auto"/>
          <w:sz w:val="32"/>
          <w:szCs w:val="32"/>
        </w:rPr>
        <w:t>柳州市柳北区北雀路西三巷64号鸿聚综合农贸市场内蔬菜行</w:t>
      </w:r>
    </w:p>
    <w:bookmarkEnd w:id="0"/>
    <w:p w14:paraId="0FEE1638">
      <w:pPr>
        <w:pStyle w:val="2"/>
        <w:keepNext w:val="0"/>
        <w:keepLines w:val="0"/>
        <w:pageBreakBefore w:val="0"/>
        <w:widowControl w:val="0"/>
        <w:kinsoku/>
        <w:wordWrap/>
        <w:overflowPunct/>
        <w:topLinePunct w:val="0"/>
        <w:bidi w:val="0"/>
        <w:snapToGrid/>
        <w:spacing w:line="400" w:lineRule="exact"/>
        <w:rPr>
          <w:rFonts w:hint="default" w:eastAsia="仿宋_GB2312"/>
          <w:color w:val="auto"/>
          <w:lang w:val="en-US" w:eastAsia="zh-CN"/>
        </w:rPr>
      </w:pPr>
      <w:r>
        <w:rPr>
          <w:rFonts w:hint="eastAsia" w:ascii="仿宋_GB2312" w:hAnsi="仿宋" w:eastAsia="仿宋_GB2312" w:cs="仿宋"/>
          <w:color w:val="auto"/>
          <w:kern w:val="2"/>
          <w:sz w:val="32"/>
          <w:szCs w:val="32"/>
          <w:lang w:val="en-US" w:eastAsia="zh-CN" w:bidi="ar-SA"/>
        </w:rPr>
        <w:t>身份证</w:t>
      </w:r>
      <w:r>
        <w:rPr>
          <w:rFonts w:hint="eastAsia" w:hAnsi="仿宋" w:cs="仿宋"/>
          <w:color w:val="auto"/>
          <w:kern w:val="2"/>
          <w:sz w:val="32"/>
          <w:szCs w:val="32"/>
          <w:lang w:val="en-US" w:eastAsia="zh-CN" w:bidi="ar-SA"/>
        </w:rPr>
        <w:t>件</w:t>
      </w:r>
      <w:r>
        <w:rPr>
          <w:rFonts w:hint="eastAsia" w:ascii="仿宋_GB2312" w:hAnsi="仿宋" w:eastAsia="仿宋_GB2312" w:cs="仿宋"/>
          <w:color w:val="auto"/>
          <w:kern w:val="2"/>
          <w:sz w:val="32"/>
          <w:szCs w:val="32"/>
          <w:lang w:val="en-US" w:eastAsia="zh-CN" w:bidi="ar-SA"/>
        </w:rPr>
        <w:t>号码</w:t>
      </w:r>
      <w:r>
        <w:rPr>
          <w:rFonts w:hint="eastAsia" w:hAnsi="仿宋" w:cs="仿宋"/>
          <w:color w:val="auto"/>
          <w:kern w:val="2"/>
          <w:sz w:val="32"/>
          <w:szCs w:val="32"/>
          <w:lang w:val="en-US" w:eastAsia="zh-CN" w:bidi="ar-SA"/>
        </w:rPr>
        <w:t>：*</w:t>
      </w:r>
    </w:p>
    <w:p w14:paraId="40469A0F">
      <w:pPr>
        <w:keepNext w:val="0"/>
        <w:keepLines w:val="0"/>
        <w:pageBreakBefore w:val="0"/>
        <w:widowControl w:val="0"/>
        <w:kinsoku/>
        <w:wordWrap/>
        <w:overflowPunct/>
        <w:topLinePunct w:val="0"/>
        <w:autoSpaceDE/>
        <w:autoSpaceDN/>
        <w:bidi w:val="0"/>
        <w:adjustRightInd w:val="0"/>
        <w:snapToGrid/>
        <w:spacing w:line="400" w:lineRule="exact"/>
        <w:ind w:left="0" w:leftChars="0" w:right="233" w:rightChars="111" w:firstLine="640" w:firstLineChars="200"/>
        <w:textAlignment w:val="baseline"/>
        <w:rPr>
          <w:rFonts w:hint="eastAsia" w:ascii="仿宋_GB2312" w:hAnsi="仿宋_GB2312" w:eastAsia="仿宋_GB2312" w:cs="仿宋_GB2312"/>
          <w:color w:val="auto"/>
          <w:sz w:val="32"/>
          <w:szCs w:val="32"/>
        </w:rPr>
      </w:pPr>
    </w:p>
    <w:p w14:paraId="3F34B8D8">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广西民生中检联检测有限公司于2025年10月29日对当事人销售的</w:t>
      </w:r>
      <w:r>
        <w:rPr>
          <w:rFonts w:hint="eastAsia" w:ascii="仿宋_GB2312" w:hAnsi="仿宋_GB2312" w:eastAsia="仿宋_GB2312" w:cs="仿宋_GB2312"/>
          <w:color w:val="auto"/>
          <w:sz w:val="32"/>
          <w:szCs w:val="32"/>
          <w:lang w:eastAsia="zh-CN"/>
        </w:rPr>
        <w:t>购进</w:t>
      </w:r>
      <w:r>
        <w:rPr>
          <w:rFonts w:hint="eastAsia" w:ascii="仿宋_GB2312" w:hAnsi="仿宋_GB2312" w:eastAsia="仿宋_GB2312" w:cs="仿宋_GB2312"/>
          <w:color w:val="auto"/>
          <w:sz w:val="32"/>
          <w:szCs w:val="32"/>
        </w:rPr>
        <w:t>日期为202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none"/>
          <w:lang w:val="en-US" w:eastAsia="zh-CN"/>
        </w:rPr>
        <w:t>的青尖椒抽样</w:t>
      </w:r>
      <w:r>
        <w:rPr>
          <w:rFonts w:hint="eastAsia" w:ascii="仿宋_GB2312" w:hAnsi="仿宋_GB2312" w:eastAsia="仿宋_GB2312" w:cs="仿宋_GB2312"/>
          <w:color w:val="auto"/>
          <w:sz w:val="32"/>
          <w:szCs w:val="32"/>
          <w:lang w:val="en-US" w:eastAsia="zh-CN"/>
        </w:rPr>
        <w:t>3.15</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z w:val="32"/>
          <w:szCs w:val="32"/>
          <w:u w:val="none"/>
          <w:lang w:val="en-US" w:eastAsia="zh-CN"/>
        </w:rPr>
        <w:t>进行送检。2025年11月24日，我局收到广西民生中检联检测有限公司</w:t>
      </w:r>
      <w:r>
        <w:rPr>
          <w:rFonts w:hint="eastAsia" w:ascii="仿宋_GB2312" w:hAnsi="仿宋_GB2312" w:eastAsia="仿宋_GB2312" w:cs="仿宋_GB2312"/>
          <w:bCs/>
          <w:color w:val="auto"/>
          <w:sz w:val="32"/>
          <w:szCs w:val="32"/>
          <w:u w:val="none"/>
        </w:rPr>
        <w:t>出具</w:t>
      </w:r>
      <w:r>
        <w:rPr>
          <w:rFonts w:hint="eastAsia" w:ascii="仿宋_GB2312" w:hAnsi="仿宋_GB2312" w:eastAsia="仿宋_GB2312" w:cs="仿宋_GB2312"/>
          <w:bCs/>
          <w:color w:val="auto"/>
          <w:sz w:val="32"/>
          <w:szCs w:val="32"/>
          <w:u w:val="none"/>
          <w:lang w:eastAsia="zh-CN"/>
        </w:rPr>
        <w:t>的</w:t>
      </w:r>
      <w:r>
        <w:rPr>
          <w:rFonts w:hint="eastAsia" w:ascii="仿宋_GB2312" w:hAnsi="仿宋_GB2312" w:eastAsia="仿宋_GB2312" w:cs="仿宋_GB2312"/>
          <w:bCs/>
          <w:color w:val="auto"/>
          <w:sz w:val="32"/>
          <w:szCs w:val="32"/>
          <w:u w:val="none"/>
        </w:rPr>
        <w:t>编号为</w:t>
      </w:r>
      <w:r>
        <w:rPr>
          <w:rFonts w:hint="eastAsia" w:ascii="仿宋_GB2312" w:hAnsi="仿宋_GB2312" w:eastAsia="仿宋_GB2312" w:cs="仿宋_GB2312"/>
          <w:bCs/>
          <w:color w:val="auto"/>
          <w:sz w:val="32"/>
          <w:szCs w:val="32"/>
          <w:u w:val="none"/>
          <w:lang w:val="en-US" w:eastAsia="zh-CN"/>
        </w:rPr>
        <w:t>No:BFSQF100471018C的《检验报告》,</w:t>
      </w:r>
      <w:r>
        <w:rPr>
          <w:rFonts w:hint="eastAsia" w:ascii="仿宋_GB2312" w:hAnsi="仿宋_GB2312" w:eastAsia="仿宋_GB2312" w:cs="仿宋_GB2312"/>
          <w:bCs/>
          <w:color w:val="auto"/>
          <w:sz w:val="32"/>
          <w:szCs w:val="32"/>
          <w:u w:val="none"/>
        </w:rPr>
        <w:t>检验结论</w:t>
      </w:r>
      <w:r>
        <w:rPr>
          <w:rFonts w:hint="eastAsia" w:ascii="仿宋_GB2312" w:hAnsi="仿宋_GB2312" w:eastAsia="仿宋_GB2312" w:cs="仿宋_GB2312"/>
          <w:bCs/>
          <w:color w:val="auto"/>
          <w:sz w:val="32"/>
          <w:szCs w:val="32"/>
          <w:u w:val="none"/>
          <w:lang w:eastAsia="zh-CN"/>
        </w:rPr>
        <w:t>为</w:t>
      </w:r>
      <w:r>
        <w:rPr>
          <w:rFonts w:hint="eastAsia" w:ascii="仿宋_GB2312" w:hAnsi="仿宋_GB2312" w:eastAsia="仿宋_GB2312" w:cs="仿宋_GB2312"/>
          <w:bCs/>
          <w:color w:val="auto"/>
          <w:sz w:val="32"/>
          <w:szCs w:val="32"/>
          <w:u w:val="none"/>
        </w:rPr>
        <w:t>不合格</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我局执法人员于</w:t>
      </w:r>
      <w:r>
        <w:rPr>
          <w:rFonts w:hint="eastAsia" w:ascii="仿宋_GB2312" w:hAnsi="仿宋_GB2312" w:eastAsia="仿宋_GB2312" w:cs="仿宋_GB2312"/>
          <w:color w:val="auto"/>
          <w:sz w:val="32"/>
          <w:szCs w:val="32"/>
          <w:lang w:val="en-US" w:eastAsia="zh-CN"/>
        </w:rPr>
        <w:t>2025年11月27日</w:t>
      </w:r>
      <w:r>
        <w:rPr>
          <w:rFonts w:hint="eastAsia" w:ascii="仿宋_GB2312" w:hAnsi="仿宋_GB2312" w:eastAsia="仿宋_GB2312" w:cs="仿宋_GB2312"/>
          <w:bCs/>
          <w:color w:val="auto"/>
          <w:sz w:val="32"/>
          <w:szCs w:val="32"/>
          <w:u w:val="none"/>
          <w:lang w:eastAsia="zh-CN"/>
        </w:rPr>
        <w:t>向当事人送达上述《</w:t>
      </w:r>
      <w:r>
        <w:rPr>
          <w:rFonts w:hint="eastAsia" w:ascii="仿宋_GB2312" w:hAnsi="仿宋_GB2312" w:eastAsia="仿宋_GB2312" w:cs="仿宋_GB2312"/>
          <w:bCs/>
          <w:color w:val="auto"/>
          <w:sz w:val="32"/>
          <w:szCs w:val="32"/>
          <w:u w:val="none"/>
        </w:rPr>
        <w:t>检验报告</w:t>
      </w:r>
      <w:r>
        <w:rPr>
          <w:rFonts w:hint="eastAsia" w:ascii="仿宋_GB2312" w:hAnsi="仿宋_GB2312" w:eastAsia="仿宋_GB2312" w:cs="仿宋_GB2312"/>
          <w:bCs/>
          <w:color w:val="auto"/>
          <w:sz w:val="32"/>
          <w:szCs w:val="32"/>
          <w:u w:val="none"/>
          <w:lang w:eastAsia="zh-CN"/>
        </w:rPr>
        <w:t>》及《食品安全抽样检验结果通知书》，并对当事人经营场所进行</w:t>
      </w:r>
      <w:r>
        <w:rPr>
          <w:rFonts w:hint="eastAsia" w:ascii="仿宋_GB2312" w:hAnsi="仿宋_GB2312" w:eastAsia="仿宋_GB2312" w:cs="仿宋_GB2312"/>
          <w:bCs/>
          <w:color w:val="auto"/>
          <w:sz w:val="32"/>
          <w:szCs w:val="32"/>
          <w:u w:val="none"/>
        </w:rPr>
        <w:t>现场</w:t>
      </w:r>
      <w:r>
        <w:rPr>
          <w:rFonts w:hint="eastAsia" w:ascii="仿宋_GB2312" w:hAnsi="仿宋_GB2312" w:eastAsia="仿宋_GB2312" w:cs="仿宋_GB2312"/>
          <w:bCs/>
          <w:color w:val="auto"/>
          <w:sz w:val="32"/>
          <w:szCs w:val="32"/>
          <w:u w:val="none"/>
          <w:lang w:eastAsia="zh-CN"/>
        </w:rPr>
        <w:t>检查，经检查当事人</w:t>
      </w:r>
      <w:r>
        <w:rPr>
          <w:rFonts w:hint="eastAsia" w:ascii="仿宋_GB2312" w:hAnsi="仿宋_GB2312" w:eastAsia="仿宋_GB2312" w:cs="仿宋_GB2312"/>
          <w:color w:val="auto"/>
          <w:sz w:val="32"/>
          <w:szCs w:val="32"/>
          <w:u w:val="none"/>
        </w:rPr>
        <w:t>上述</w:t>
      </w:r>
      <w:r>
        <w:rPr>
          <w:rFonts w:hint="eastAsia" w:ascii="仿宋_GB2312" w:hAnsi="仿宋_GB2312" w:eastAsia="仿宋_GB2312" w:cs="仿宋_GB2312"/>
          <w:color w:val="auto"/>
          <w:sz w:val="32"/>
          <w:szCs w:val="32"/>
          <w:u w:val="none"/>
          <w:lang w:eastAsia="zh-CN"/>
        </w:rPr>
        <w:t>检验不合格批次</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青尖椒</w:t>
      </w:r>
      <w:r>
        <w:rPr>
          <w:rFonts w:hint="eastAsia" w:ascii="仿宋_GB2312" w:hAnsi="仿宋_GB2312" w:eastAsia="仿宋_GB2312" w:cs="仿宋_GB2312"/>
          <w:color w:val="auto"/>
          <w:sz w:val="32"/>
          <w:szCs w:val="32"/>
          <w:u w:val="none"/>
        </w:rPr>
        <w:t>已无</w:t>
      </w:r>
      <w:r>
        <w:rPr>
          <w:rFonts w:hint="eastAsia" w:ascii="仿宋_GB2312" w:hAnsi="仿宋_GB2312" w:eastAsia="仿宋_GB2312" w:cs="仿宋_GB2312"/>
          <w:color w:val="auto"/>
          <w:sz w:val="32"/>
          <w:szCs w:val="32"/>
          <w:u w:val="none"/>
          <w:lang w:val="en-US" w:eastAsia="zh-CN"/>
        </w:rPr>
        <w:t>在售及</w:t>
      </w:r>
      <w:r>
        <w:rPr>
          <w:rFonts w:hint="eastAsia" w:ascii="仿宋_GB2312" w:hAnsi="仿宋_GB2312" w:eastAsia="仿宋_GB2312" w:cs="仿宋_GB2312"/>
          <w:color w:val="auto"/>
          <w:sz w:val="32"/>
          <w:szCs w:val="32"/>
          <w:u w:val="none"/>
        </w:rPr>
        <w:t>库存</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rPr>
        <w:t>当事人</w:t>
      </w:r>
      <w:r>
        <w:rPr>
          <w:rFonts w:hint="eastAsia" w:ascii="仿宋_GB2312" w:hAnsi="仿宋_GB2312" w:eastAsia="仿宋_GB2312" w:cs="仿宋_GB2312"/>
          <w:color w:val="auto"/>
          <w:sz w:val="32"/>
          <w:szCs w:val="32"/>
          <w:u w:val="none"/>
          <w:lang w:eastAsia="zh-CN"/>
        </w:rPr>
        <w:t>在法定期限内</w:t>
      </w:r>
      <w:r>
        <w:rPr>
          <w:rFonts w:hint="eastAsia" w:ascii="仿宋_GB2312" w:hAnsi="仿宋_GB2312" w:eastAsia="仿宋_GB2312" w:cs="仿宋_GB2312"/>
          <w:color w:val="auto"/>
          <w:sz w:val="32"/>
          <w:szCs w:val="32"/>
          <w:u w:val="none"/>
        </w:rPr>
        <w:t>未提出复检申请</w:t>
      </w: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bCs/>
          <w:color w:val="auto"/>
          <w:sz w:val="32"/>
          <w:szCs w:val="32"/>
          <w:u w:val="none"/>
        </w:rPr>
        <w:t>20</w:t>
      </w:r>
      <w:r>
        <w:rPr>
          <w:rFonts w:hint="eastAsia" w:ascii="仿宋_GB2312" w:hAnsi="仿宋_GB2312" w:eastAsia="仿宋_GB2312" w:cs="仿宋_GB2312"/>
          <w:bCs/>
          <w:color w:val="auto"/>
          <w:sz w:val="32"/>
          <w:szCs w:val="32"/>
          <w:u w:val="none"/>
          <w:lang w:val="en-US" w:eastAsia="zh-CN"/>
        </w:rPr>
        <w:t>25</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11</w:t>
      </w:r>
      <w:r>
        <w:rPr>
          <w:rFonts w:hint="eastAsia" w:ascii="仿宋_GB2312" w:hAnsi="仿宋_GB2312" w:eastAsia="仿宋_GB2312" w:cs="仿宋_GB2312"/>
          <w:bCs/>
          <w:color w:val="auto"/>
          <w:sz w:val="32"/>
          <w:szCs w:val="32"/>
          <w:u w:val="none"/>
        </w:rPr>
        <w:t>月</w:t>
      </w:r>
      <w:r>
        <w:rPr>
          <w:rFonts w:hint="eastAsia" w:ascii="仿宋_GB2312" w:hAnsi="仿宋_GB2312" w:eastAsia="仿宋_GB2312" w:cs="仿宋_GB2312"/>
          <w:bCs/>
          <w:color w:val="auto"/>
          <w:sz w:val="32"/>
          <w:szCs w:val="32"/>
          <w:u w:val="none"/>
          <w:lang w:val="en-US" w:eastAsia="zh-CN"/>
        </w:rPr>
        <w:t>28</w:t>
      </w:r>
      <w:r>
        <w:rPr>
          <w:rFonts w:hint="eastAsia" w:ascii="仿宋_GB2312" w:hAnsi="仿宋_GB2312" w:eastAsia="仿宋_GB2312" w:cs="仿宋_GB2312"/>
          <w:bCs/>
          <w:color w:val="auto"/>
          <w:sz w:val="32"/>
          <w:szCs w:val="32"/>
          <w:u w:val="none"/>
        </w:rPr>
        <w:t>日</w:t>
      </w:r>
      <w:r>
        <w:rPr>
          <w:rFonts w:hint="eastAsia" w:ascii="仿宋_GB2312" w:hAnsi="仿宋_GB2312" w:eastAsia="仿宋_GB2312" w:cs="仿宋_GB2312"/>
          <w:bCs/>
          <w:color w:val="auto"/>
          <w:sz w:val="32"/>
          <w:szCs w:val="32"/>
          <w:u w:val="none"/>
          <w:lang w:eastAsia="zh-CN"/>
        </w:rPr>
        <w:t>对当事人</w:t>
      </w:r>
      <w:r>
        <w:rPr>
          <w:rFonts w:hint="eastAsia" w:ascii="仿宋_GB2312" w:hAnsi="仿宋_GB2312" w:eastAsia="仿宋_GB2312" w:cs="仿宋_GB2312"/>
          <w:color w:val="auto"/>
          <w:sz w:val="32"/>
          <w:szCs w:val="32"/>
        </w:rPr>
        <w:t>涉嫌经营农药残留含量超过食品安全标准限量的食品</w:t>
      </w:r>
      <w:r>
        <w:rPr>
          <w:rFonts w:hint="eastAsia" w:ascii="仿宋_GB2312" w:hAnsi="仿宋_GB2312" w:eastAsia="仿宋_GB2312" w:cs="仿宋_GB2312"/>
          <w:bCs/>
          <w:color w:val="auto"/>
          <w:sz w:val="32"/>
          <w:szCs w:val="32"/>
          <w:u w:val="none"/>
          <w:lang w:eastAsia="zh-CN"/>
        </w:rPr>
        <w:t>的行为进行立案调查</w:t>
      </w:r>
      <w:r>
        <w:rPr>
          <w:rFonts w:hint="eastAsia" w:ascii="仿宋_GB2312" w:hAnsi="仿宋_GB2312" w:eastAsia="仿宋_GB2312" w:cs="仿宋_GB2312"/>
          <w:bCs/>
          <w:color w:val="auto"/>
          <w:sz w:val="32"/>
          <w:szCs w:val="32"/>
          <w:u w:val="none"/>
        </w:rPr>
        <w:t>。</w:t>
      </w:r>
    </w:p>
    <w:p w14:paraId="4FB3A6B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40" w:firstLineChars="200"/>
        <w:textAlignment w:val="auto"/>
        <w:outlineLvl w:val="9"/>
        <w:rPr>
          <w:rFonts w:hint="eastAsia" w:ascii="仿宋_GB2312" w:hAnsi="仿宋_GB2312" w:eastAsia="仿宋_GB2312" w:cs="仿宋_GB2312"/>
          <w:color w:val="auto"/>
          <w:spacing w:val="0"/>
          <w:sz w:val="32"/>
          <w:szCs w:val="32"/>
          <w:u w:val="none"/>
          <w:lang w:val="en-US" w:eastAsia="zh-CN"/>
        </w:rPr>
      </w:pPr>
      <w:r>
        <w:rPr>
          <w:rFonts w:hint="eastAsia" w:ascii="仿宋_GB2312" w:hAnsi="仿宋_GB2312" w:eastAsia="仿宋_GB2312" w:cs="仿宋_GB2312"/>
          <w:color w:val="auto"/>
          <w:sz w:val="32"/>
          <w:szCs w:val="32"/>
          <w:u w:val="none"/>
          <w:lang w:val="en-US" w:eastAsia="zh-CN"/>
        </w:rPr>
        <w:t>经查实，当事人于2025年10月29日购进青尖椒</w:t>
      </w:r>
      <w:r>
        <w:rPr>
          <w:rFonts w:hint="eastAsia" w:ascii="仿宋_GB2312" w:hAnsi="仿宋_GB2312" w:eastAsia="仿宋_GB2312" w:cs="仿宋_GB2312"/>
          <w:color w:val="auto"/>
          <w:sz w:val="32"/>
          <w:szCs w:val="32"/>
          <w:u w:val="none" w:color="auto"/>
          <w:lang w:val="en-US" w:eastAsia="zh-CN"/>
        </w:rPr>
        <w:t>11.5</w:t>
      </w:r>
      <w:r>
        <w:rPr>
          <w:rFonts w:hint="eastAsia" w:ascii="仿宋_GB2312" w:hAnsi="仿宋_GB2312" w:eastAsia="仿宋_GB2312" w:cs="仿宋_GB2312"/>
          <w:color w:val="auto"/>
          <w:sz w:val="32"/>
          <w:szCs w:val="32"/>
          <w:u w:val="none"/>
          <w:lang w:val="en-US" w:eastAsia="zh-CN"/>
        </w:rPr>
        <w:t>kg</w:t>
      </w:r>
      <w:r>
        <w:rPr>
          <w:rFonts w:hint="eastAsia" w:ascii="仿宋_GB2312" w:hAnsi="仿宋_GB2312" w:eastAsia="仿宋_GB2312" w:cs="仿宋_GB2312"/>
          <w:bCs/>
          <w:color w:val="auto"/>
          <w:sz w:val="32"/>
          <w:szCs w:val="32"/>
          <w:u w:val="none"/>
          <w:lang w:val="en-US" w:eastAsia="zh-CN"/>
        </w:rPr>
        <w:t>用于销售</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Cs/>
          <w:color w:val="auto"/>
          <w:sz w:val="32"/>
          <w:szCs w:val="32"/>
          <w:u w:val="none"/>
          <w:lang w:val="en-US" w:eastAsia="zh-CN"/>
        </w:rPr>
        <w:t>购进单价为</w:t>
      </w:r>
      <w:r>
        <w:rPr>
          <w:rFonts w:hint="eastAsia" w:ascii="仿宋_GB2312" w:hAnsi="仿宋_GB2312" w:eastAsia="仿宋_GB2312" w:cs="仿宋_GB2312"/>
          <w:color w:val="auto"/>
          <w:sz w:val="32"/>
          <w:szCs w:val="32"/>
          <w:u w:val="none"/>
          <w:lang w:val="en-US" w:eastAsia="zh-CN"/>
        </w:rPr>
        <w:t>进价*元/kg，</w:t>
      </w:r>
      <w:r>
        <w:rPr>
          <w:rFonts w:hint="eastAsia" w:ascii="仿宋_GB2312" w:hAnsi="仿宋_GB2312" w:eastAsia="仿宋_GB2312" w:cs="仿宋_GB2312"/>
          <w:bCs/>
          <w:color w:val="auto"/>
          <w:sz w:val="32"/>
          <w:szCs w:val="32"/>
          <w:u w:val="none"/>
          <w:lang w:val="en-US" w:eastAsia="zh-CN"/>
        </w:rPr>
        <w:t>销售单价为8元/kg</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Cs/>
          <w:color w:val="auto"/>
          <w:sz w:val="32"/>
          <w:szCs w:val="32"/>
          <w:u w:val="none"/>
          <w:lang w:val="en-US" w:eastAsia="zh-CN"/>
        </w:rPr>
        <w:t>售出</w:t>
      </w:r>
      <w:r>
        <w:rPr>
          <w:rFonts w:hint="eastAsia" w:ascii="仿宋_GB2312" w:hAnsi="仿宋_GB2312" w:eastAsia="仿宋_GB2312" w:cs="仿宋_GB2312"/>
          <w:color w:val="auto"/>
          <w:sz w:val="32"/>
          <w:szCs w:val="32"/>
          <w:u w:val="none"/>
          <w:lang w:val="en-US" w:eastAsia="zh-CN"/>
        </w:rPr>
        <w:t>11.5kg</w:t>
      </w:r>
      <w:r>
        <w:rPr>
          <w:rFonts w:hint="eastAsia" w:ascii="仿宋_GB2312" w:hAnsi="仿宋_GB2312" w:eastAsia="仿宋_GB2312" w:cs="仿宋_GB2312"/>
          <w:bCs/>
          <w:color w:val="auto"/>
          <w:sz w:val="32"/>
          <w:szCs w:val="32"/>
          <w:u w:val="none"/>
          <w:lang w:val="en-US" w:eastAsia="zh-CN"/>
        </w:rPr>
        <w:t>，其中</w:t>
      </w:r>
      <w:r>
        <w:rPr>
          <w:rFonts w:hint="eastAsia" w:ascii="仿宋_GB2312" w:hAnsi="仿宋_GB2312" w:eastAsia="仿宋_GB2312" w:cs="仿宋_GB2312"/>
          <w:color w:val="auto"/>
          <w:sz w:val="32"/>
          <w:szCs w:val="32"/>
          <w:lang w:val="en-US" w:eastAsia="zh-CN"/>
        </w:rPr>
        <w:t>3.15</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color w:val="auto"/>
          <w:spacing w:val="0"/>
          <w:sz w:val="32"/>
          <w:szCs w:val="32"/>
          <w:u w:val="none"/>
          <w:lang w:val="en-US" w:eastAsia="zh-CN"/>
        </w:rPr>
        <w:t>售给</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抽样人员送检，</w:t>
      </w:r>
      <w:r>
        <w:rPr>
          <w:rFonts w:hint="eastAsia" w:ascii="仿宋_GB2312" w:hAnsi="仿宋_GB2312" w:eastAsia="仿宋_GB2312" w:cs="仿宋_GB2312"/>
          <w:color w:val="auto"/>
          <w:sz w:val="32"/>
          <w:szCs w:val="32"/>
          <w:lang w:val="en-US" w:eastAsia="zh-CN"/>
        </w:rPr>
        <w:t>8.35</w:t>
      </w:r>
      <w:r>
        <w:rPr>
          <w:rFonts w:hint="eastAsia" w:ascii="仿宋_GB2312" w:hAnsi="仿宋_GB2312" w:eastAsia="仿宋_GB2312" w:cs="仿宋_GB2312"/>
          <w:color w:val="auto"/>
          <w:sz w:val="32"/>
          <w:szCs w:val="32"/>
        </w:rPr>
        <w:t>kg</w:t>
      </w:r>
      <w:r>
        <w:rPr>
          <w:rFonts w:hint="eastAsia" w:ascii="仿宋_GB2312" w:hAnsi="仿宋_GB2312" w:eastAsia="仿宋_GB2312" w:cs="仿宋_GB2312"/>
          <w:bCs/>
          <w:color w:val="auto"/>
          <w:sz w:val="32"/>
          <w:szCs w:val="32"/>
          <w:u w:val="none"/>
          <w:lang w:val="en-US" w:eastAsia="zh-CN"/>
        </w:rPr>
        <w:t>销售给其他顾客</w:t>
      </w:r>
      <w:r>
        <w:rPr>
          <w:rFonts w:hint="eastAsia" w:ascii="仿宋_GB2312" w:hAnsi="仿宋_GB2312" w:eastAsia="仿宋_GB2312" w:cs="仿宋_GB2312"/>
          <w:color w:val="auto"/>
          <w:spacing w:val="0"/>
          <w:sz w:val="32"/>
          <w:szCs w:val="32"/>
          <w:u w:val="none"/>
          <w:lang w:val="en-US" w:eastAsia="zh-CN"/>
        </w:rPr>
        <w:t>。上述</w:t>
      </w:r>
      <w:r>
        <w:rPr>
          <w:rFonts w:hint="eastAsia" w:ascii="仿宋_GB2312" w:hAnsi="仿宋_GB2312" w:eastAsia="仿宋_GB2312" w:cs="仿宋_GB2312"/>
          <w:color w:val="auto"/>
          <w:sz w:val="32"/>
          <w:szCs w:val="32"/>
          <w:u w:val="none" w:color="auto"/>
          <w:lang w:val="en-US" w:eastAsia="zh-CN"/>
        </w:rPr>
        <w:t>青尖椒</w:t>
      </w:r>
      <w:r>
        <w:rPr>
          <w:rFonts w:hint="eastAsia" w:ascii="仿宋_GB2312" w:hAnsi="仿宋_GB2312" w:eastAsia="仿宋_GB2312" w:cs="仿宋_GB2312"/>
          <w:color w:val="auto"/>
          <w:spacing w:val="0"/>
          <w:sz w:val="32"/>
          <w:szCs w:val="32"/>
          <w:u w:val="none"/>
          <w:lang w:val="en-US" w:eastAsia="zh-CN"/>
        </w:rPr>
        <w:t>经</w:t>
      </w:r>
      <w:r>
        <w:rPr>
          <w:rFonts w:hint="eastAsia" w:ascii="仿宋_GB2312" w:hAnsi="仿宋_GB2312" w:eastAsia="仿宋_GB2312" w:cs="仿宋_GB2312"/>
          <w:color w:val="auto"/>
          <w:sz w:val="32"/>
          <w:szCs w:val="32"/>
          <w:u w:val="none"/>
          <w:lang w:val="en-US" w:eastAsia="zh-CN"/>
        </w:rPr>
        <w:t>广西民生中检联检测有限公司</w:t>
      </w:r>
      <w:r>
        <w:rPr>
          <w:rFonts w:hint="eastAsia" w:ascii="仿宋_GB2312" w:hAnsi="仿宋_GB2312" w:eastAsia="仿宋_GB2312" w:cs="仿宋_GB2312"/>
          <w:color w:val="auto"/>
          <w:spacing w:val="0"/>
          <w:sz w:val="32"/>
          <w:szCs w:val="32"/>
          <w:u w:val="none"/>
          <w:lang w:val="en-US" w:eastAsia="zh-CN"/>
        </w:rPr>
        <w:t>抽样检验，检验结论：经抽样检验，噻虫胺项目不符合GB 2763-2021《食品安全国家标准 食品中农药最大残留限量》要求，检验结论为不合格。</w:t>
      </w:r>
      <w:r>
        <w:rPr>
          <w:rFonts w:hint="eastAsia" w:ascii="仿宋_GB2312" w:hAnsi="仿宋_GB2312" w:eastAsia="仿宋_GB2312" w:cs="仿宋_GB2312"/>
          <w:bCs/>
          <w:color w:val="auto"/>
          <w:sz w:val="32"/>
          <w:szCs w:val="32"/>
          <w:u w:val="none"/>
          <w:lang w:eastAsia="zh-CN"/>
        </w:rPr>
        <w:t>上述食品货值金额为</w:t>
      </w:r>
      <w:r>
        <w:rPr>
          <w:rFonts w:hint="eastAsia" w:ascii="仿宋_GB2312" w:hAnsi="仿宋_GB2312" w:eastAsia="仿宋_GB2312" w:cs="仿宋_GB2312"/>
          <w:bCs/>
          <w:color w:val="auto"/>
          <w:sz w:val="32"/>
          <w:szCs w:val="32"/>
          <w:u w:val="none"/>
          <w:lang w:val="en-US" w:eastAsia="zh-CN"/>
        </w:rPr>
        <w:t>92</w:t>
      </w:r>
      <w:r>
        <w:rPr>
          <w:rFonts w:hint="eastAsia" w:ascii="仿宋_GB2312" w:hAnsi="仿宋_GB2312" w:eastAsia="仿宋_GB2312" w:cs="仿宋_GB2312"/>
          <w:bCs/>
          <w:color w:val="auto"/>
          <w:sz w:val="32"/>
          <w:szCs w:val="32"/>
          <w:u w:val="none"/>
          <w:lang w:eastAsia="zh-CN"/>
        </w:rPr>
        <w:t>元，营业性收入</w:t>
      </w:r>
      <w:r>
        <w:rPr>
          <w:rFonts w:hint="eastAsia" w:ascii="仿宋_GB2312" w:hAnsi="仿宋_GB2312" w:eastAsia="仿宋_GB2312" w:cs="仿宋_GB2312"/>
          <w:bCs/>
          <w:color w:val="auto"/>
          <w:sz w:val="32"/>
          <w:szCs w:val="32"/>
          <w:u w:val="none"/>
          <w:lang w:val="en-US" w:eastAsia="zh-CN"/>
        </w:rPr>
        <w:t>92</w:t>
      </w:r>
      <w:r>
        <w:rPr>
          <w:rFonts w:hint="eastAsia" w:ascii="仿宋_GB2312" w:hAnsi="仿宋_GB2312" w:eastAsia="仿宋_GB2312" w:cs="仿宋_GB2312"/>
          <w:bCs/>
          <w:color w:val="auto"/>
          <w:sz w:val="32"/>
          <w:szCs w:val="32"/>
          <w:u w:val="none"/>
          <w:lang w:eastAsia="zh-CN"/>
        </w:rPr>
        <w:t>元。</w:t>
      </w:r>
    </w:p>
    <w:p w14:paraId="6AEA5F70">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当事人在采购上述青尖椒时未查验供货商的资质证明及食品合格证明文件，未建立食用农产品进货查验记录，也未保存相关进货票据。</w:t>
      </w:r>
    </w:p>
    <w:p w14:paraId="7B86E8BC">
      <w:pPr>
        <w:keepNext w:val="0"/>
        <w:keepLines w:val="0"/>
        <w:pageBreakBefore w:val="0"/>
        <w:widowControl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上述事实，主要有以下证据证明：</w:t>
      </w:r>
    </w:p>
    <w:p w14:paraId="2E9525A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1.当事人的《营业执照》复印件1份，经营者曾雄平身份证复印件1份，证明当事人的主体资格和经营者的身份信息。</w:t>
      </w:r>
    </w:p>
    <w:p w14:paraId="019D4F4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现场笔录》1份，《询问笔录》1份，《检验报告》1份，《食品安全抽样检验结果通知书》1份，《食品安全抽样检验抽样单（食用农产品）》复印件1份，《食品安全抽样检验告知书》复印件1份，《证据提取单》2份，证明当事人存在经营噻虫胺项目不符合GB 2763-2021《食品安全国家标准 食品中农药最大残留限量》的青尖椒的事实。</w:t>
      </w:r>
    </w:p>
    <w:p w14:paraId="7825CEC9">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3.整改报告1份，证明当事人的整改情况。</w:t>
      </w:r>
    </w:p>
    <w:p w14:paraId="050ADEF1">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以上证据均由经营者签名认可。  </w:t>
      </w:r>
    </w:p>
    <w:p w14:paraId="5414902B">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2025年12月25日我局向当事人送达了《行政处罚告知书》（柳北市监罚告〔2025〕366号），告知当事人我局拟作出行政处罚的事实、理由、依据、处罚内容及享有的权利。当事人在法定期限内未提出陈述、申辩。</w:t>
      </w:r>
    </w:p>
    <w:p w14:paraId="45EC36D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当事人采购上述青尖椒时未查验供货商的资质证明及食品合格证明文件的行为，违反了《中华人民共和国食品安全法》第五十三条第一款的规定，属于未履行进货查验义务的行为。</w:t>
      </w:r>
    </w:p>
    <w:p w14:paraId="03BE03E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采购上述青尖椒时未建立食用农产品进货查验记录，也未保存相关进货票据的行为，违反了《中华人民共和国食品安全法》第六十五条的规定，属于未按规定建立食用农产品进货查验记录及保存相关凭证的行为。</w:t>
      </w:r>
    </w:p>
    <w:p w14:paraId="19BB722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当事人经营上述青尖椒的行为，违反了《中华人民共和国食品安全法》第三十四条第一款第二项的规定，属于经营农药残留含量超过食品安全标准限量的食品的行为，本案货值金额92元，违法所得为92元。</w:t>
      </w:r>
    </w:p>
    <w:p w14:paraId="7494989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的经营场所为柳州市柳北区鸿聚市场内的固定摊点，根据《广西壮族自治区食品安全条例》第八十五条第二款的规定，你属于食品摊贩，因此你的上述行为构成《广西壮族自治区食品小作坊小餐饮和食品摊贩管理条例》第二十八条第一款第五项规定的违法行为。</w:t>
      </w:r>
    </w:p>
    <w:p w14:paraId="49D15418">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依据《中华人民共和国食品安全法》第一百二十七条、《广西壮族自治区食品小作坊小餐饮和食品摊贩管理条例》第四十三条和《中华人民共和国行政处罚法》第二十八条第二款的规定，我局决定责令当事人立即改正上述违法行为，并给予当事人警告、没收违法所得92元的行政处罚。</w:t>
      </w:r>
    </w:p>
    <w:p w14:paraId="6F26AA8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当事人应当自收到本行政处罚决定书之日起十五日内，凭《广西壮族自治区非税收入电子缴款通知书》到中国建设银行缴纳</w:t>
      </w:r>
      <w:r>
        <w:rPr>
          <w:rFonts w:hint="eastAsia" w:ascii="仿宋_GB2312" w:hAnsi="仿宋_GB2312" w:eastAsia="仿宋_GB2312" w:cs="仿宋_GB2312"/>
          <w:color w:val="auto"/>
          <w:sz w:val="32"/>
          <w:szCs w:val="32"/>
          <w:u w:val="none"/>
          <w:lang w:eastAsia="zh-CN"/>
        </w:rPr>
        <w:t>上述款项</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逾</w:t>
      </w:r>
      <w:r>
        <w:rPr>
          <w:rFonts w:hint="eastAsia" w:ascii="仿宋_GB2312" w:hAnsi="仿宋_GB2312" w:eastAsia="仿宋_GB2312" w:cs="仿宋_GB2312"/>
          <w:color w:val="auto"/>
          <w:sz w:val="32"/>
          <w:szCs w:val="32"/>
          <w:u w:val="none"/>
        </w:rPr>
        <w:t>期不缴纳的，依据《中华人民共和国行政处罚法》</w:t>
      </w:r>
      <w:r>
        <w:rPr>
          <w:rFonts w:hint="eastAsia" w:ascii="仿宋_GB2312" w:hAnsi="仿宋_GB2312" w:eastAsia="仿宋_GB2312" w:cs="仿宋_GB2312"/>
          <w:color w:val="auto"/>
          <w:kern w:val="0"/>
          <w:sz w:val="32"/>
          <w:szCs w:val="32"/>
          <w:u w:val="none"/>
          <w:lang w:val="en-US" w:eastAsia="zh-CN" w:bidi="ar"/>
        </w:rPr>
        <w:t>第七十二条</w:t>
      </w:r>
      <w:r>
        <w:rPr>
          <w:rFonts w:hint="eastAsia" w:ascii="仿宋_GB2312" w:hAnsi="仿宋_GB2312" w:eastAsia="仿宋_GB2312" w:cs="仿宋_GB2312"/>
          <w:color w:val="auto"/>
          <w:sz w:val="32"/>
          <w:szCs w:val="32"/>
          <w:u w:val="none"/>
        </w:rPr>
        <w:t>的规定，我局将依法申请人民法院强制执行。</w:t>
      </w:r>
    </w:p>
    <w:p w14:paraId="23E7128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当事人如不服本行政处罚决定，可以在接到本行政处罚决定书之日起六十日内向柳州市柳北区人民政府申请行政复议；也可以在六个月内依法向柳州市柳南区人民法院提起行政诉讼。</w:t>
      </w:r>
    </w:p>
    <w:p w14:paraId="2985D8B7">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3D81AC4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344BCB2E">
      <w:pPr>
        <w:keepNext w:val="0"/>
        <w:keepLines w:val="0"/>
        <w:pageBreakBefore w:val="0"/>
        <w:kinsoku/>
        <w:wordWrap/>
        <w:overflowPunct/>
        <w:topLinePunct w:val="0"/>
        <w:autoSpaceDE/>
        <w:autoSpaceDN/>
        <w:bidi w:val="0"/>
        <w:snapToGrid/>
        <w:spacing w:line="480" w:lineRule="exact"/>
        <w:ind w:firstLine="4800" w:firstLineChars="15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柳州市柳北区市场监督管理局</w:t>
      </w:r>
    </w:p>
    <w:p w14:paraId="390DA7E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2026年1月12</w:t>
      </w:r>
      <w:bookmarkStart w:id="1" w:name="_GoBack"/>
      <w:bookmarkEnd w:id="1"/>
      <w:r>
        <w:rPr>
          <w:rFonts w:hint="eastAsia" w:ascii="仿宋_GB2312" w:hAnsi="仿宋_GB2312" w:eastAsia="仿宋_GB2312" w:cs="仿宋_GB2312"/>
          <w:color w:val="auto"/>
          <w:sz w:val="32"/>
          <w:szCs w:val="32"/>
          <w:u w:val="none"/>
          <w:lang w:val="en-US" w:eastAsia="zh-CN"/>
        </w:rPr>
        <w:t>日</w:t>
      </w:r>
    </w:p>
    <w:p w14:paraId="69D2FDD2">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6CB4A699">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1E13985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78153292">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0DC8B043">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3647BE9B">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7E1CB6EF">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4046D44A">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p>
    <w:p w14:paraId="68067E7E">
      <w:pPr>
        <w:keepNext w:val="0"/>
        <w:keepLines w:val="0"/>
        <w:pageBreakBefore w:val="0"/>
        <w:kinsoku/>
        <w:wordWrap/>
        <w:overflowPunct/>
        <w:topLinePunct w:val="0"/>
        <w:autoSpaceDE/>
        <w:autoSpaceDN/>
        <w:bidi w:val="0"/>
        <w:snapToGrid/>
        <w:spacing w:line="480" w:lineRule="exact"/>
        <w:rPr>
          <w:rFonts w:hint="eastAsia" w:ascii="仿宋_GB2312" w:hAnsi="仿宋_GB2312" w:eastAsia="仿宋_GB2312" w:cs="仿宋_GB2312"/>
          <w:color w:val="auto"/>
          <w:sz w:val="32"/>
          <w:szCs w:val="32"/>
          <w:u w:val="none"/>
          <w:lang w:val="en-US" w:eastAsia="zh-CN"/>
        </w:rPr>
      </w:pPr>
      <w:r>
        <w:rPr>
          <w:rFonts w:hint="eastAsia" w:ascii="黑体" w:hAnsi="黑体" w:eastAsia="黑体" w:cs="黑体"/>
          <w:b w:val="0"/>
          <w:bCs w:val="0"/>
          <w:color w:val="auto"/>
          <w:w w:val="98"/>
          <w:sz w:val="32"/>
          <w:szCs w:val="32"/>
          <w:lang w:eastAsia="zh-CN"/>
        </w:rPr>
        <w:t>（市场监督管理部门将依法向社会公开行政处罚决定信息）</w:t>
      </w:r>
    </w:p>
    <w:p w14:paraId="32822FCE">
      <w:pPr>
        <w:keepNext w:val="0"/>
        <w:keepLines w:val="0"/>
        <w:pageBreakBefore w:val="0"/>
        <w:kinsoku/>
        <w:wordWrap/>
        <w:overflowPunct/>
        <w:topLinePunct w:val="0"/>
        <w:autoSpaceDE/>
        <w:autoSpaceDN/>
        <w:bidi w:val="0"/>
        <w:snapToGrid/>
        <w:spacing w:line="480" w:lineRule="exact"/>
        <w:rPr>
          <w:rFonts w:hint="default" w:ascii="仿宋_GB2312" w:hAnsi="仿宋_GB2312" w:eastAsia="仿宋_GB2312" w:cs="仿宋_GB2312"/>
          <w:bCs/>
          <w:color w:val="auto"/>
          <w:sz w:val="32"/>
          <w:szCs w:val="32"/>
          <w:u w:val="none" w:color="auto"/>
          <w:lang w:val="en-US" w:eastAsia="zh-CN"/>
        </w:rPr>
      </w:pPr>
      <w:r>
        <w:rPr>
          <w:rFonts w:hint="eastAsia" w:ascii="仿宋_GB2312" w:hAnsi="仿宋_GB2312" w:eastAsia="仿宋_GB2312" w:cs="仿宋_GB2312"/>
          <w:color w:val="auto"/>
          <w:sz w:val="32"/>
          <w:szCs w:val="32"/>
          <w:u w:val="none"/>
          <w:lang w:val="en-US" w:eastAsia="zh-CN"/>
        </w:rPr>
        <w:pict>
          <v:line id="直线 2" o:spid="_x0000_s2051" o:spt="20" style="position:absolute;left:0pt;margin-left:1.1pt;margin-top:5.95pt;height:0.05pt;width:433.5pt;z-index:251660288;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Ftgmm/oAQAA3QMAAA4AAABkcnMvZTJvRG9jLnhtbK1TS44TMRDd&#10;I3EHy3vSSZg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z5DWcOLDX88dv3xx8/2TJ7&#10;MwZsCHLvtvE8w7CNWeixizb/SQI7Fj9PFz/VMTFBi3U9r29qslpQ7vZ1nRmrp60hYnqvvGU5aLnR&#10;LouFBg4fME3Q35C8bBwbW/62XtZECH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Ftgmm/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szCs w:val="32"/>
          <w:u w:val="none"/>
          <w:lang w:val="en-US" w:eastAsia="zh-CN"/>
        </w:rPr>
        <w:pict>
          <v:line id="直线 3" o:spid="_x0000_s2050" o:spt="20" style="position:absolute;left:0pt;margin-left:1.1pt;margin-top:5.95pt;height:0.05pt;width:433.5pt;z-index:251661312;mso-width-relative:page;mso-height-relative:page;" filled="f" stroked="t" coordsize="21600,21600" o:gfxdata="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8A8otMAAAAH&#10;AQAADwAAAAAAAAABACAAAAAiAAAAZHJzL2Rvd25yZXYueG1sUEsBAhQAFAAAAAgAh07iQBTWV0Ho&#10;AQAA3QMAAA4AAAAAAAAAAQAgAAAAIgEAAGRycy9lMm9Eb2MueG1sUEsFBgAAAAAGAAYAWQEAAHwF&#10;AAAAAA==&#10;">
            <v:path arrowok="t"/>
            <v:fill on="f" focussize="0,0"/>
            <v:stroke color="#000000" joinstyle="round"/>
            <v:imagedata o:title=""/>
            <o:lock v:ext="edit" aspectratio="f"/>
          </v:line>
        </w:pict>
      </w:r>
      <w:r>
        <w:rPr>
          <w:rFonts w:hint="eastAsia" w:ascii="仿宋_GB2312" w:hAnsi="仿宋_GB2312" w:eastAsia="仿宋_GB2312" w:cs="仿宋_GB2312"/>
          <w:color w:val="auto"/>
          <w:sz w:val="32"/>
          <w:szCs w:val="32"/>
          <w:u w:val="none"/>
          <w:lang w:val="en-US" w:eastAsia="zh-CN"/>
        </w:rPr>
        <w:t>本文书一式三份，一份送达，一份归档，一份办案机构留</w:t>
      </w:r>
      <w:r>
        <w:rPr>
          <w:rFonts w:hint="eastAsia" w:ascii="仿宋_GB2312" w:hAnsi="仿宋_GB2312" w:eastAsia="仿宋_GB2312" w:cs="仿宋_GB2312"/>
          <w:color w:val="auto"/>
          <w:sz w:val="32"/>
          <w:szCs w:val="32"/>
        </w:rPr>
        <w:t>存。</w:t>
      </w:r>
    </w:p>
    <w:sectPr>
      <w:headerReference r:id="rId3" w:type="default"/>
      <w:footerReference r:id="rId4" w:type="default"/>
      <w:pgSz w:w="11906" w:h="16838"/>
      <w:pgMar w:top="1247" w:right="1417" w:bottom="1304" w:left="1417" w:header="851"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4CE8">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96B9329">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5CF6A">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Q5ZmI1NmM0NTFmZTU5ZDUyNjZiMTM4MjRlMDJmYTcifQ=="/>
    <w:docVar w:name="KSO_WPS_MARK_KEY" w:val="b74546ca-a398-4f87-9c69-6bec994220b1"/>
  </w:docVars>
  <w:rsids>
    <w:rsidRoot w:val="148273E2"/>
    <w:rsid w:val="000065F5"/>
    <w:rsid w:val="0004512F"/>
    <w:rsid w:val="00081F9C"/>
    <w:rsid w:val="00083C83"/>
    <w:rsid w:val="000B341C"/>
    <w:rsid w:val="001012C9"/>
    <w:rsid w:val="00142F2C"/>
    <w:rsid w:val="001C0503"/>
    <w:rsid w:val="00211B0C"/>
    <w:rsid w:val="00255EEE"/>
    <w:rsid w:val="002C2FAA"/>
    <w:rsid w:val="00357DAF"/>
    <w:rsid w:val="0036662C"/>
    <w:rsid w:val="00463B38"/>
    <w:rsid w:val="004B6721"/>
    <w:rsid w:val="00574F12"/>
    <w:rsid w:val="005E199B"/>
    <w:rsid w:val="005E309F"/>
    <w:rsid w:val="005F5BA5"/>
    <w:rsid w:val="006A6CB1"/>
    <w:rsid w:val="006C0007"/>
    <w:rsid w:val="006E7533"/>
    <w:rsid w:val="00704B12"/>
    <w:rsid w:val="0072741A"/>
    <w:rsid w:val="0074190D"/>
    <w:rsid w:val="00771A9E"/>
    <w:rsid w:val="0079623E"/>
    <w:rsid w:val="00817650"/>
    <w:rsid w:val="008739FF"/>
    <w:rsid w:val="008A0974"/>
    <w:rsid w:val="00955ECE"/>
    <w:rsid w:val="009C3AF3"/>
    <w:rsid w:val="00A62EC1"/>
    <w:rsid w:val="00B91F48"/>
    <w:rsid w:val="00BC4BAE"/>
    <w:rsid w:val="00BE07B0"/>
    <w:rsid w:val="00BE5339"/>
    <w:rsid w:val="00D05A34"/>
    <w:rsid w:val="00D82DEA"/>
    <w:rsid w:val="00D866B1"/>
    <w:rsid w:val="00DB475D"/>
    <w:rsid w:val="00DD449C"/>
    <w:rsid w:val="00DD743A"/>
    <w:rsid w:val="00E3129E"/>
    <w:rsid w:val="00EA4461"/>
    <w:rsid w:val="00F26908"/>
    <w:rsid w:val="00FC6549"/>
    <w:rsid w:val="00FD11C5"/>
    <w:rsid w:val="00FE2746"/>
    <w:rsid w:val="015C4E4C"/>
    <w:rsid w:val="017862EE"/>
    <w:rsid w:val="02AD34F4"/>
    <w:rsid w:val="031D702B"/>
    <w:rsid w:val="0328798D"/>
    <w:rsid w:val="04392B35"/>
    <w:rsid w:val="04E43113"/>
    <w:rsid w:val="05A77A0B"/>
    <w:rsid w:val="05AD3BCA"/>
    <w:rsid w:val="05F332D1"/>
    <w:rsid w:val="062A0A13"/>
    <w:rsid w:val="06636B00"/>
    <w:rsid w:val="06F651DB"/>
    <w:rsid w:val="07C95455"/>
    <w:rsid w:val="09611CF3"/>
    <w:rsid w:val="0BB57D6B"/>
    <w:rsid w:val="0CB213C1"/>
    <w:rsid w:val="0CB74E19"/>
    <w:rsid w:val="0CBD0903"/>
    <w:rsid w:val="0D6177ED"/>
    <w:rsid w:val="0DA71FDE"/>
    <w:rsid w:val="0DAF7C51"/>
    <w:rsid w:val="0DBF10BD"/>
    <w:rsid w:val="0E3771A3"/>
    <w:rsid w:val="0F4749E2"/>
    <w:rsid w:val="0F525A05"/>
    <w:rsid w:val="105D7A82"/>
    <w:rsid w:val="108500DE"/>
    <w:rsid w:val="117B63A4"/>
    <w:rsid w:val="11BD5D75"/>
    <w:rsid w:val="12BF2650"/>
    <w:rsid w:val="12DE2F04"/>
    <w:rsid w:val="134617C9"/>
    <w:rsid w:val="13F30D47"/>
    <w:rsid w:val="13FA7F80"/>
    <w:rsid w:val="14277F1E"/>
    <w:rsid w:val="143F60A1"/>
    <w:rsid w:val="148273E2"/>
    <w:rsid w:val="15064605"/>
    <w:rsid w:val="15892AE3"/>
    <w:rsid w:val="1595472F"/>
    <w:rsid w:val="15AA17EA"/>
    <w:rsid w:val="15DB1A7E"/>
    <w:rsid w:val="16264708"/>
    <w:rsid w:val="16DD0B6D"/>
    <w:rsid w:val="17091053"/>
    <w:rsid w:val="17E1120B"/>
    <w:rsid w:val="17EB2D91"/>
    <w:rsid w:val="184F057B"/>
    <w:rsid w:val="189C466F"/>
    <w:rsid w:val="19221846"/>
    <w:rsid w:val="19297756"/>
    <w:rsid w:val="19682ABE"/>
    <w:rsid w:val="1A690B1E"/>
    <w:rsid w:val="1A745652"/>
    <w:rsid w:val="1AA55913"/>
    <w:rsid w:val="1AAB7A25"/>
    <w:rsid w:val="1AE96D67"/>
    <w:rsid w:val="1B3874B6"/>
    <w:rsid w:val="1B625FC1"/>
    <w:rsid w:val="1B8A02C6"/>
    <w:rsid w:val="1C0F2E75"/>
    <w:rsid w:val="1C191BC6"/>
    <w:rsid w:val="1C220723"/>
    <w:rsid w:val="1C6A0B2D"/>
    <w:rsid w:val="1C9158C1"/>
    <w:rsid w:val="1CB15DE2"/>
    <w:rsid w:val="1D376F7C"/>
    <w:rsid w:val="1E376B1E"/>
    <w:rsid w:val="1E5B441F"/>
    <w:rsid w:val="1EB52C70"/>
    <w:rsid w:val="1EB96323"/>
    <w:rsid w:val="1F161646"/>
    <w:rsid w:val="1F277B5E"/>
    <w:rsid w:val="1F3603BC"/>
    <w:rsid w:val="1F3E2D68"/>
    <w:rsid w:val="1F4849A4"/>
    <w:rsid w:val="1F4D1EE3"/>
    <w:rsid w:val="1F9E445E"/>
    <w:rsid w:val="20125CE0"/>
    <w:rsid w:val="20154E0E"/>
    <w:rsid w:val="208244E5"/>
    <w:rsid w:val="209122D7"/>
    <w:rsid w:val="20CA15D4"/>
    <w:rsid w:val="210B577A"/>
    <w:rsid w:val="2171636C"/>
    <w:rsid w:val="23383DAC"/>
    <w:rsid w:val="23D200D4"/>
    <w:rsid w:val="23E34743"/>
    <w:rsid w:val="24531927"/>
    <w:rsid w:val="24924C8F"/>
    <w:rsid w:val="24E55852"/>
    <w:rsid w:val="25207D76"/>
    <w:rsid w:val="255D34FA"/>
    <w:rsid w:val="255E30DE"/>
    <w:rsid w:val="25912C02"/>
    <w:rsid w:val="25BC7BF5"/>
    <w:rsid w:val="26603C6E"/>
    <w:rsid w:val="26B87CE7"/>
    <w:rsid w:val="26BA3467"/>
    <w:rsid w:val="27D00EE0"/>
    <w:rsid w:val="28940DAE"/>
    <w:rsid w:val="28E76E28"/>
    <w:rsid w:val="2941559E"/>
    <w:rsid w:val="297B6BA3"/>
    <w:rsid w:val="299327C4"/>
    <w:rsid w:val="299E6AAB"/>
    <w:rsid w:val="29A2079E"/>
    <w:rsid w:val="29DF4E41"/>
    <w:rsid w:val="2A222295"/>
    <w:rsid w:val="2A7A5040"/>
    <w:rsid w:val="2AFD6B9E"/>
    <w:rsid w:val="2B157B4F"/>
    <w:rsid w:val="2B424F07"/>
    <w:rsid w:val="2B9D65E3"/>
    <w:rsid w:val="2C13787F"/>
    <w:rsid w:val="2C1724E2"/>
    <w:rsid w:val="2C257A64"/>
    <w:rsid w:val="2C421DD7"/>
    <w:rsid w:val="2C7F6960"/>
    <w:rsid w:val="2CA1772C"/>
    <w:rsid w:val="2CA70D16"/>
    <w:rsid w:val="2CF1764D"/>
    <w:rsid w:val="2D002F4F"/>
    <w:rsid w:val="2D1C6BF7"/>
    <w:rsid w:val="2D6514FE"/>
    <w:rsid w:val="2D9C177A"/>
    <w:rsid w:val="2F2B20C6"/>
    <w:rsid w:val="2F386C07"/>
    <w:rsid w:val="301D017F"/>
    <w:rsid w:val="30BD5513"/>
    <w:rsid w:val="30E338A2"/>
    <w:rsid w:val="31091780"/>
    <w:rsid w:val="31DC529A"/>
    <w:rsid w:val="323E5D53"/>
    <w:rsid w:val="325166E9"/>
    <w:rsid w:val="330A4993"/>
    <w:rsid w:val="332500F7"/>
    <w:rsid w:val="33535743"/>
    <w:rsid w:val="338B331E"/>
    <w:rsid w:val="3457176D"/>
    <w:rsid w:val="34792FA7"/>
    <w:rsid w:val="35247BBC"/>
    <w:rsid w:val="35D65462"/>
    <w:rsid w:val="35FC3C1B"/>
    <w:rsid w:val="371F7D71"/>
    <w:rsid w:val="37AE5DAC"/>
    <w:rsid w:val="37EF7C5B"/>
    <w:rsid w:val="38410328"/>
    <w:rsid w:val="390D0746"/>
    <w:rsid w:val="39794D00"/>
    <w:rsid w:val="3AEC6E29"/>
    <w:rsid w:val="3C297ADF"/>
    <w:rsid w:val="3CF8256F"/>
    <w:rsid w:val="3DE843F8"/>
    <w:rsid w:val="3E032EB7"/>
    <w:rsid w:val="3E0E1C40"/>
    <w:rsid w:val="3E376AA4"/>
    <w:rsid w:val="3EBB37DF"/>
    <w:rsid w:val="3F1C0717"/>
    <w:rsid w:val="3F2A4B8B"/>
    <w:rsid w:val="40776A3F"/>
    <w:rsid w:val="41007633"/>
    <w:rsid w:val="41214029"/>
    <w:rsid w:val="416F2CA3"/>
    <w:rsid w:val="41711ECE"/>
    <w:rsid w:val="41724B42"/>
    <w:rsid w:val="41CE2515"/>
    <w:rsid w:val="41DF1A8D"/>
    <w:rsid w:val="42330CA9"/>
    <w:rsid w:val="4257288A"/>
    <w:rsid w:val="4291797E"/>
    <w:rsid w:val="4326283B"/>
    <w:rsid w:val="433340CF"/>
    <w:rsid w:val="4364489E"/>
    <w:rsid w:val="436D237B"/>
    <w:rsid w:val="43A1297A"/>
    <w:rsid w:val="43FA7BFE"/>
    <w:rsid w:val="443378C9"/>
    <w:rsid w:val="44C07632"/>
    <w:rsid w:val="44E542DA"/>
    <w:rsid w:val="451218A7"/>
    <w:rsid w:val="452A7C4D"/>
    <w:rsid w:val="45A12488"/>
    <w:rsid w:val="461F1F60"/>
    <w:rsid w:val="46943C0F"/>
    <w:rsid w:val="47A97AA1"/>
    <w:rsid w:val="47BE6742"/>
    <w:rsid w:val="47EC3EAF"/>
    <w:rsid w:val="47F37382"/>
    <w:rsid w:val="4A207916"/>
    <w:rsid w:val="4A4D113D"/>
    <w:rsid w:val="4C3E6663"/>
    <w:rsid w:val="4C914A2C"/>
    <w:rsid w:val="4CC70732"/>
    <w:rsid w:val="4D1107FD"/>
    <w:rsid w:val="4DA93FB0"/>
    <w:rsid w:val="4DC360A2"/>
    <w:rsid w:val="4DD5222C"/>
    <w:rsid w:val="4E3B7EB0"/>
    <w:rsid w:val="4E9E6D0A"/>
    <w:rsid w:val="4EB80EAB"/>
    <w:rsid w:val="4F3E18EA"/>
    <w:rsid w:val="4F7324E1"/>
    <w:rsid w:val="4FD74F00"/>
    <w:rsid w:val="4FEB2D6E"/>
    <w:rsid w:val="503468E2"/>
    <w:rsid w:val="50B5429E"/>
    <w:rsid w:val="5151276C"/>
    <w:rsid w:val="51A716B6"/>
    <w:rsid w:val="51C904BB"/>
    <w:rsid w:val="523A1FC6"/>
    <w:rsid w:val="53E923EE"/>
    <w:rsid w:val="53EB5322"/>
    <w:rsid w:val="53FC7230"/>
    <w:rsid w:val="540632E9"/>
    <w:rsid w:val="544E6F61"/>
    <w:rsid w:val="5473232C"/>
    <w:rsid w:val="549E3B5B"/>
    <w:rsid w:val="55763B22"/>
    <w:rsid w:val="55BA5430"/>
    <w:rsid w:val="566278C5"/>
    <w:rsid w:val="56A62938"/>
    <w:rsid w:val="56E255DB"/>
    <w:rsid w:val="574B68BA"/>
    <w:rsid w:val="582740A9"/>
    <w:rsid w:val="58A73382"/>
    <w:rsid w:val="591521C8"/>
    <w:rsid w:val="592077C9"/>
    <w:rsid w:val="5953349B"/>
    <w:rsid w:val="597A3332"/>
    <w:rsid w:val="599F5B19"/>
    <w:rsid w:val="59B966C3"/>
    <w:rsid w:val="5A731374"/>
    <w:rsid w:val="5AFF3EF1"/>
    <w:rsid w:val="5CBD218A"/>
    <w:rsid w:val="5CC36333"/>
    <w:rsid w:val="5D592F21"/>
    <w:rsid w:val="5EC232A3"/>
    <w:rsid w:val="5F9F2A6C"/>
    <w:rsid w:val="5FFE682B"/>
    <w:rsid w:val="604A68E0"/>
    <w:rsid w:val="60CC2CDD"/>
    <w:rsid w:val="61284DEA"/>
    <w:rsid w:val="61544F71"/>
    <w:rsid w:val="616650DA"/>
    <w:rsid w:val="61E70572"/>
    <w:rsid w:val="637F3FE6"/>
    <w:rsid w:val="63E72995"/>
    <w:rsid w:val="648A6BE8"/>
    <w:rsid w:val="657135A3"/>
    <w:rsid w:val="657D4ABD"/>
    <w:rsid w:val="67261A9A"/>
    <w:rsid w:val="688A1A9D"/>
    <w:rsid w:val="688D0641"/>
    <w:rsid w:val="691D477F"/>
    <w:rsid w:val="699E35BB"/>
    <w:rsid w:val="69F44464"/>
    <w:rsid w:val="6A014483"/>
    <w:rsid w:val="6A22066F"/>
    <w:rsid w:val="6A3142C9"/>
    <w:rsid w:val="6A3A7FB1"/>
    <w:rsid w:val="6B8D0D02"/>
    <w:rsid w:val="6C0F4EEF"/>
    <w:rsid w:val="6C1134DA"/>
    <w:rsid w:val="6C5808AF"/>
    <w:rsid w:val="6DAD60FE"/>
    <w:rsid w:val="6E725242"/>
    <w:rsid w:val="6E8F6D71"/>
    <w:rsid w:val="6EEE43BE"/>
    <w:rsid w:val="6F7B3B73"/>
    <w:rsid w:val="6F855001"/>
    <w:rsid w:val="6FCB74A9"/>
    <w:rsid w:val="7028360F"/>
    <w:rsid w:val="70966D10"/>
    <w:rsid w:val="70A82C64"/>
    <w:rsid w:val="70C34251"/>
    <w:rsid w:val="7135211F"/>
    <w:rsid w:val="71365A01"/>
    <w:rsid w:val="71A06C04"/>
    <w:rsid w:val="71F667BD"/>
    <w:rsid w:val="72175D9C"/>
    <w:rsid w:val="72740C55"/>
    <w:rsid w:val="72A509A5"/>
    <w:rsid w:val="72D355FA"/>
    <w:rsid w:val="731F7D8E"/>
    <w:rsid w:val="73AA52D4"/>
    <w:rsid w:val="73DE1526"/>
    <w:rsid w:val="73EF5F44"/>
    <w:rsid w:val="74BE07C3"/>
    <w:rsid w:val="74CD4654"/>
    <w:rsid w:val="76937E2C"/>
    <w:rsid w:val="778B637C"/>
    <w:rsid w:val="780B0124"/>
    <w:rsid w:val="780E5495"/>
    <w:rsid w:val="782C62B8"/>
    <w:rsid w:val="785D036F"/>
    <w:rsid w:val="787616BF"/>
    <w:rsid w:val="78A7237F"/>
    <w:rsid w:val="7907149F"/>
    <w:rsid w:val="790C18B2"/>
    <w:rsid w:val="79666822"/>
    <w:rsid w:val="796A4AAB"/>
    <w:rsid w:val="79714248"/>
    <w:rsid w:val="798A2050"/>
    <w:rsid w:val="79965BD7"/>
    <w:rsid w:val="79995F47"/>
    <w:rsid w:val="79EF5412"/>
    <w:rsid w:val="7A9F6060"/>
    <w:rsid w:val="7AB349DD"/>
    <w:rsid w:val="7AB81C3A"/>
    <w:rsid w:val="7B19712B"/>
    <w:rsid w:val="7B3A48B6"/>
    <w:rsid w:val="7B967100"/>
    <w:rsid w:val="7C8232CF"/>
    <w:rsid w:val="7C8548D8"/>
    <w:rsid w:val="7CCB6FCD"/>
    <w:rsid w:val="7E635C01"/>
    <w:rsid w:val="7E662974"/>
    <w:rsid w:val="7E847639"/>
    <w:rsid w:val="7EAF4003"/>
    <w:rsid w:val="7ED607F9"/>
    <w:rsid w:val="7F3F44B7"/>
    <w:rsid w:val="7FEE13F2"/>
    <w:rsid w:val="7FFD0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29"/>
    <w:qFormat/>
    <w:uiPriority w:val="0"/>
    <w:pPr>
      <w:tabs>
        <w:tab w:val="center" w:pos="4153"/>
        <w:tab w:val="right" w:pos="8306"/>
      </w:tabs>
      <w:snapToGrid w:val="0"/>
      <w:jc w:val="left"/>
    </w:pPr>
    <w:rPr>
      <w:sz w:val="18"/>
      <w:szCs w:val="18"/>
    </w:rPr>
  </w:style>
  <w:style w:type="paragraph" w:styleId="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style>
  <w:style w:type="character" w:styleId="9">
    <w:name w:val="FollowedHyperlink"/>
    <w:basedOn w:val="7"/>
    <w:qFormat/>
    <w:uiPriority w:val="0"/>
    <w:rPr>
      <w:color w:val="00000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yperlink"/>
    <w:basedOn w:val="7"/>
    <w:qFormat/>
    <w:uiPriority w:val="0"/>
    <w:rPr>
      <w:color w:val="000000"/>
      <w:u w:val="none"/>
    </w:rPr>
  </w:style>
  <w:style w:type="character" w:styleId="14">
    <w:name w:val="HTML Code"/>
    <w:basedOn w:val="7"/>
    <w:qFormat/>
    <w:uiPriority w:val="0"/>
    <w:rPr>
      <w:rFonts w:ascii="Courier New" w:hAnsi="Courier New"/>
      <w:sz w:val="20"/>
    </w:rPr>
  </w:style>
  <w:style w:type="character" w:styleId="15">
    <w:name w:val="HTML Cite"/>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6" w:space="0"/>
      <w:shd w:val="clear" w:color="auto" w:fill="FFFFFF"/>
    </w:rPr>
  </w:style>
  <w:style w:type="character" w:customStyle="1" w:styleId="18">
    <w:name w:val="x-tab-strip-text"/>
    <w:basedOn w:val="7"/>
    <w:qFormat/>
    <w:uiPriority w:val="0"/>
    <w:rPr>
      <w:color w:val="111111"/>
    </w:rPr>
  </w:style>
  <w:style w:type="character" w:customStyle="1" w:styleId="19">
    <w:name w:val="x-tab-strip-text1"/>
    <w:basedOn w:val="7"/>
    <w:qFormat/>
    <w:uiPriority w:val="0"/>
  </w:style>
  <w:style w:type="character" w:customStyle="1" w:styleId="20">
    <w:name w:val="x-tab-strip-text2"/>
    <w:basedOn w:val="7"/>
    <w:qFormat/>
    <w:uiPriority w:val="0"/>
    <w:rPr>
      <w:rFonts w:hint="eastAsia" w:ascii="宋体" w:hAnsi="宋体" w:eastAsia="宋体" w:cs="宋体"/>
      <w:color w:val="333333"/>
      <w:sz w:val="21"/>
      <w:szCs w:val="21"/>
    </w:rPr>
  </w:style>
  <w:style w:type="character" w:customStyle="1" w:styleId="21">
    <w:name w:val="x-tab-strip-text3"/>
    <w:basedOn w:val="7"/>
    <w:qFormat/>
    <w:uiPriority w:val="0"/>
  </w:style>
  <w:style w:type="character" w:customStyle="1" w:styleId="22">
    <w:name w:val="x-tab-strip-text4"/>
    <w:basedOn w:val="7"/>
    <w:qFormat/>
    <w:uiPriority w:val="0"/>
    <w:rPr>
      <w:b/>
      <w:color w:val="15428B"/>
    </w:rPr>
  </w:style>
  <w:style w:type="character" w:customStyle="1" w:styleId="23">
    <w:name w:val="x-tab-strip-text5"/>
    <w:basedOn w:val="7"/>
    <w:qFormat/>
    <w:uiPriority w:val="0"/>
  </w:style>
  <w:style w:type="character" w:customStyle="1" w:styleId="24">
    <w:name w:val="active1"/>
    <w:basedOn w:val="7"/>
    <w:qFormat/>
    <w:uiPriority w:val="0"/>
    <w:rPr>
      <w:color w:val="00FF00"/>
      <w:shd w:val="clear" w:color="auto" w:fill="000000"/>
    </w:rPr>
  </w:style>
  <w:style w:type="character" w:customStyle="1" w:styleId="25">
    <w:name w:val="hilite6"/>
    <w:basedOn w:val="7"/>
    <w:qFormat/>
    <w:uiPriority w:val="0"/>
    <w:rPr>
      <w:color w:val="FFFFFF"/>
      <w:shd w:val="clear" w:color="auto" w:fill="886666"/>
    </w:rPr>
  </w:style>
  <w:style w:type="character" w:customStyle="1" w:styleId="26">
    <w:name w:val="active7"/>
    <w:basedOn w:val="7"/>
    <w:qFormat/>
    <w:uiPriority w:val="0"/>
    <w:rPr>
      <w:color w:val="00FF00"/>
      <w:shd w:val="clear" w:color="auto" w:fill="000000"/>
    </w:rPr>
  </w:style>
  <w:style w:type="character" w:customStyle="1" w:styleId="27">
    <w:name w:val="hilite5"/>
    <w:basedOn w:val="7"/>
    <w:qFormat/>
    <w:uiPriority w:val="0"/>
    <w:rPr>
      <w:color w:val="FFFFFF"/>
      <w:shd w:val="clear" w:color="auto" w:fill="886666"/>
    </w:rPr>
  </w:style>
  <w:style w:type="character" w:customStyle="1" w:styleId="28">
    <w:name w:val="页眉 Char"/>
    <w:basedOn w:val="7"/>
    <w:link w:val="4"/>
    <w:qFormat/>
    <w:uiPriority w:val="0"/>
    <w:rPr>
      <w:rFonts w:asciiTheme="minorHAnsi" w:hAnsiTheme="minorHAnsi" w:eastAsiaTheme="minorEastAsia" w:cstheme="minorBidi"/>
      <w:kern w:val="2"/>
      <w:sz w:val="18"/>
      <w:szCs w:val="18"/>
    </w:rPr>
  </w:style>
  <w:style w:type="character" w:customStyle="1" w:styleId="2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1695</Words>
  <Characters>1831</Characters>
  <Lines>11</Lines>
  <Paragraphs>3</Paragraphs>
  <TotalTime>0</TotalTime>
  <ScaleCrop>false</ScaleCrop>
  <LinksUpToDate>false</LinksUpToDate>
  <CharactersWithSpaces>1874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2019-06-18T07:59:00Z</dcterms:created>
  <dc:creator>Judy~</dc:creator>
  <cp:lastModifiedBy>河谷镇</cp:lastModifiedBy>
  <cp:lastPrinted>2020-09-15T09:45:00Z</cp:lastPrinted>
  <dcterms:modified xsi:type="dcterms:W3CDTF">2026-01-22T08:59:57Z</dcterms:modified>
  <dc:title>柳州市柳北区市场监督管理局</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F754B56C02BD438EA8301216B6C6F1AC</vt:lpwstr>
  </property>
  <property fmtid="{D5CDD505-2E9C-101B-9397-08002B2CF9AE}" pid="4" name="KSOTemplateDocerSaveRecord">
    <vt:lpwstr>eyJoZGlkIjoiNjljYzBiNmJkNjNmYjA3MDkwNzQ4ZTM5NDc1MTY5NDgiLCJ1c2VySWQiOiI0OTg3NTAzNTcifQ==</vt:lpwstr>
  </property>
</Properties>
</file>