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125DB">
      <w:pPr>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柳州市柳北区市场监督管理局</w:t>
      </w:r>
    </w:p>
    <w:p w14:paraId="562A5DEE">
      <w:pPr>
        <w:tabs>
          <w:tab w:val="left" w:pos="1649"/>
          <w:tab w:val="center" w:pos="4596"/>
        </w:tabs>
        <w:spacing w:line="520" w:lineRule="exact"/>
        <w:jc w:val="left"/>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ab/>
      </w:r>
      <w:r>
        <w:rPr>
          <w:rFonts w:hint="eastAsia" w:ascii="方正小标宋简体" w:hAnsi="方正小标宋简体" w:eastAsia="方正小标宋简体" w:cs="方正小标宋简体"/>
          <w:color w:val="auto"/>
          <w:sz w:val="44"/>
          <w:szCs w:val="44"/>
          <w:lang w:eastAsia="zh-CN"/>
        </w:rPr>
        <w:tab/>
      </w:r>
      <w:r>
        <w:rPr>
          <w:rFonts w:hint="eastAsia" w:ascii="方正小标宋简体" w:hAnsi="方正小标宋简体" w:eastAsia="方正小标宋简体" w:cs="方正小标宋简体"/>
          <w:color w:val="auto"/>
          <w:sz w:val="44"/>
          <w:szCs w:val="44"/>
        </w:rPr>
        <w:t>行政处罚决定书</w:t>
      </w:r>
    </w:p>
    <w:p w14:paraId="3639063E">
      <w:pPr>
        <w:keepNext w:val="0"/>
        <w:keepLines w:val="0"/>
        <w:pageBreakBefore w:val="0"/>
        <w:widowControl w:val="0"/>
        <w:kinsoku/>
        <w:wordWrap/>
        <w:overflowPunct/>
        <w:topLinePunct w:val="0"/>
        <w:autoSpaceDE/>
        <w:autoSpaceDN/>
        <w:bidi w:val="0"/>
        <w:adjustRightInd/>
        <w:snapToGrid/>
        <w:spacing w:after="157" w:afterLines="5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柳北市监</w:t>
      </w:r>
      <w:r>
        <w:rPr>
          <w:rFonts w:hint="eastAsia" w:ascii="仿宋_GB2312" w:hAnsi="仿宋_GB2312" w:eastAsia="仿宋_GB2312" w:cs="仿宋_GB2312"/>
          <w:color w:val="auto"/>
          <w:sz w:val="32"/>
          <w:szCs w:val="32"/>
          <w:lang w:eastAsia="zh-CN"/>
        </w:rPr>
        <w:t>处</w:t>
      </w:r>
      <w:r>
        <w:rPr>
          <w:rFonts w:hint="eastAsia" w:ascii="仿宋_GB2312" w:hAnsi="仿宋_GB2312" w:eastAsia="仿宋_GB2312" w:cs="仿宋_GB2312"/>
          <w:color w:val="auto"/>
          <w:sz w:val="32"/>
          <w:szCs w:val="32"/>
        </w:rPr>
        <w:t>罚〔202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161</w:t>
      </w:r>
      <w:r>
        <w:rPr>
          <w:rFonts w:hint="eastAsia" w:ascii="仿宋_GB2312" w:hAnsi="仿宋_GB2312" w:eastAsia="仿宋_GB2312" w:cs="仿宋_GB2312"/>
          <w:color w:val="auto"/>
          <w:sz w:val="32"/>
          <w:szCs w:val="32"/>
        </w:rPr>
        <w:t>号</w:t>
      </w:r>
    </w:p>
    <w:p w14:paraId="652C69F7">
      <w:pPr>
        <w:keepNext w:val="0"/>
        <w:keepLines w:val="0"/>
        <w:pageBreakBefore w:val="0"/>
        <w:widowControl w:val="0"/>
        <w:kinsoku/>
        <w:wordWrap/>
        <w:overflowPunct/>
        <w:topLinePunct w:val="0"/>
        <w:autoSpaceDE/>
        <w:autoSpaceDN/>
        <w:bidi w:val="0"/>
        <w:adjustRightInd w:val="0"/>
        <w:snapToGrid/>
        <w:spacing w:line="240" w:lineRule="auto"/>
        <w:ind w:left="0" w:leftChars="0" w:right="233" w:rightChars="111"/>
        <w:jc w:val="both"/>
        <w:textAlignment w:val="baseline"/>
        <w:outlineLvl w:val="9"/>
        <w:rPr>
          <w:rFonts w:hint="eastAsia" w:ascii="仿宋_GB2312" w:hAnsi="仿宋_GB2312" w:eastAsia="仿宋_GB2312" w:cs="仿宋_GB2312"/>
          <w:bCs/>
          <w:color w:val="auto"/>
          <w:sz w:val="32"/>
          <w:szCs w:val="32"/>
          <w:u w:val="none"/>
          <w:lang w:eastAsia="zh-CN"/>
        </w:rPr>
      </w:pPr>
      <w:r>
        <w:rPr>
          <w:rFonts w:hint="eastAsia" w:ascii="仿宋_GB2312" w:hAnsi="仿宋_GB2312" w:eastAsia="仿宋_GB2312" w:cs="仿宋_GB2312"/>
          <w:color w:val="auto"/>
          <w:sz w:val="32"/>
          <w:szCs w:val="32"/>
          <w:u w:val="none"/>
          <w:lang w:eastAsia="zh-CN"/>
        </w:rPr>
        <w:t>当事人：</w:t>
      </w:r>
      <w:bookmarkStart w:id="0" w:name="OLE_LINK1"/>
      <w:r>
        <w:rPr>
          <w:rFonts w:hint="eastAsia" w:ascii="仿宋_GB2312" w:hAnsi="仿宋_GB2312" w:eastAsia="仿宋_GB2312" w:cs="仿宋_GB2312"/>
          <w:color w:val="auto"/>
          <w:sz w:val="32"/>
          <w:szCs w:val="32"/>
          <w:u w:val="none" w:color="auto"/>
          <w:lang w:val="en-US" w:eastAsia="zh-CN"/>
        </w:rPr>
        <w:t>广西长者乐园养老服务有限公司</w:t>
      </w:r>
      <w:bookmarkEnd w:id="0"/>
    </w:p>
    <w:p w14:paraId="647F882A">
      <w:pPr>
        <w:pStyle w:val="2"/>
        <w:keepNext w:val="0"/>
        <w:keepLines w:val="0"/>
        <w:pageBreakBefore w:val="0"/>
        <w:widowControl w:val="0"/>
        <w:kinsoku/>
        <w:wordWrap/>
        <w:overflowPunct/>
        <w:topLinePunct w:val="0"/>
        <w:bidi w:val="0"/>
        <w:adjustRightInd w:val="0"/>
        <w:snapToGrid/>
        <w:spacing w:line="240" w:lineRule="auto"/>
        <w:ind w:left="0" w:leftChars="0"/>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主体资格证照名称：营业执照</w:t>
      </w:r>
    </w:p>
    <w:p w14:paraId="720E8472">
      <w:pPr>
        <w:pStyle w:val="2"/>
        <w:keepNext w:val="0"/>
        <w:keepLines w:val="0"/>
        <w:pageBreakBefore w:val="0"/>
        <w:widowControl w:val="0"/>
        <w:kinsoku/>
        <w:wordWrap/>
        <w:overflowPunct/>
        <w:topLinePunct w:val="0"/>
        <w:bidi w:val="0"/>
        <w:adjustRightInd w:val="0"/>
        <w:snapToGrid/>
        <w:spacing w:line="240" w:lineRule="auto"/>
        <w:ind w:left="0" w:leftChars="0"/>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统一社会信用代码：91450200MA5KEA6L8L</w:t>
      </w:r>
    </w:p>
    <w:p w14:paraId="26AB14DD">
      <w:pPr>
        <w:keepNext w:val="0"/>
        <w:keepLines w:val="0"/>
        <w:pageBreakBefore w:val="0"/>
        <w:widowControl w:val="0"/>
        <w:kinsoku/>
        <w:wordWrap/>
        <w:overflowPunct/>
        <w:topLinePunct w:val="0"/>
        <w:autoSpaceDE/>
        <w:autoSpaceDN/>
        <w:bidi w:val="0"/>
        <w:adjustRightInd w:val="0"/>
        <w:snapToGrid/>
        <w:spacing w:line="240" w:lineRule="auto"/>
        <w:ind w:left="0" w:leftChars="0" w:right="233" w:rightChars="111"/>
        <w:jc w:val="both"/>
        <w:textAlignment w:val="baseline"/>
        <w:outlineLvl w:val="9"/>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color w:val="auto"/>
          <w:sz w:val="32"/>
          <w:szCs w:val="32"/>
          <w:u w:val="none" w:color="auto"/>
          <w:lang w:val="en-US" w:eastAsia="zh-CN"/>
        </w:rPr>
        <w:t>住所</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color="auto"/>
          <w:lang w:val="en-US" w:eastAsia="zh-CN"/>
        </w:rPr>
        <w:t>柳州市城中区雅儒路75号【一照多址企业】</w:t>
      </w:r>
    </w:p>
    <w:p w14:paraId="327A5BB4">
      <w:pPr>
        <w:keepNext w:val="0"/>
        <w:keepLines w:val="0"/>
        <w:pageBreakBefore w:val="0"/>
        <w:widowControl w:val="0"/>
        <w:kinsoku/>
        <w:wordWrap/>
        <w:overflowPunct/>
        <w:topLinePunct w:val="0"/>
        <w:autoSpaceDE/>
        <w:autoSpaceDN/>
        <w:bidi w:val="0"/>
        <w:adjustRightInd w:val="0"/>
        <w:snapToGrid/>
        <w:spacing w:line="240" w:lineRule="auto"/>
        <w:ind w:left="0" w:leftChars="0" w:right="233" w:rightChars="111"/>
        <w:textAlignment w:val="baseline"/>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法定代表人：李振宇</w:t>
      </w:r>
    </w:p>
    <w:p w14:paraId="4E4C583A">
      <w:pPr>
        <w:pStyle w:val="2"/>
        <w:keepNext w:val="0"/>
        <w:keepLines w:val="0"/>
        <w:pageBreakBefore w:val="0"/>
        <w:widowControl w:val="0"/>
        <w:kinsoku/>
        <w:wordWrap/>
        <w:overflowPunct/>
        <w:topLinePunct w:val="0"/>
        <w:bidi w:val="0"/>
        <w:snapToGrid/>
        <w:spacing w:line="240" w:lineRule="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u w:val="none" w:color="auto"/>
        </w:rPr>
        <w:t>身份证</w:t>
      </w:r>
      <w:r>
        <w:rPr>
          <w:rFonts w:hint="eastAsia" w:ascii="仿宋_GB2312" w:hAnsi="仿宋_GB2312" w:eastAsia="仿宋_GB2312" w:cs="仿宋_GB2312"/>
          <w:color w:val="auto"/>
          <w:sz w:val="32"/>
          <w:szCs w:val="32"/>
          <w:u w:val="none" w:color="auto"/>
          <w:lang w:eastAsia="zh-CN"/>
        </w:rPr>
        <w:t>件</w:t>
      </w:r>
      <w:r>
        <w:rPr>
          <w:rFonts w:hint="eastAsia" w:ascii="仿宋_GB2312" w:hAnsi="仿宋_GB2312" w:eastAsia="仿宋_GB2312" w:cs="仿宋_GB2312"/>
          <w:color w:val="auto"/>
          <w:sz w:val="32"/>
          <w:szCs w:val="32"/>
          <w:u w:val="none" w:color="auto"/>
        </w:rPr>
        <w:t>号码：</w:t>
      </w:r>
      <w:r>
        <w:rPr>
          <w:rFonts w:hint="eastAsia" w:hAnsi="仿宋_GB2312" w:cs="仿宋_GB2312"/>
          <w:color w:val="auto"/>
          <w:sz w:val="32"/>
          <w:szCs w:val="32"/>
          <w:u w:val="none" w:color="auto"/>
          <w:lang w:val="en-US" w:eastAsia="zh-CN"/>
        </w:rPr>
        <w:t>*</w:t>
      </w:r>
    </w:p>
    <w:p w14:paraId="4B310917">
      <w:pPr>
        <w:keepNext w:val="0"/>
        <w:keepLines w:val="0"/>
        <w:pageBreakBefore w:val="0"/>
        <w:widowControl w:val="0"/>
        <w:kinsoku/>
        <w:wordWrap/>
        <w:overflowPunct/>
        <w:topLinePunct w:val="0"/>
        <w:autoSpaceDE/>
        <w:autoSpaceDN/>
        <w:bidi w:val="0"/>
        <w:adjustRightInd w:val="0"/>
        <w:snapToGrid/>
        <w:spacing w:line="240" w:lineRule="auto"/>
        <w:ind w:left="0" w:leftChars="0" w:right="233" w:rightChars="111" w:firstLine="640" w:firstLineChars="200"/>
        <w:textAlignment w:val="baseline"/>
        <w:outlineLvl w:val="9"/>
        <w:rPr>
          <w:rFonts w:hint="eastAsia" w:ascii="仿宋_GB2312" w:hAnsi="仿宋_GB2312" w:eastAsia="仿宋_GB2312" w:cs="仿宋_GB2312"/>
          <w:color w:val="auto"/>
          <w:sz w:val="32"/>
          <w:szCs w:val="32"/>
        </w:rPr>
      </w:pPr>
    </w:p>
    <w:p w14:paraId="33CB18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2025年4月16日，我局执法人员对当事人位于</w:t>
      </w:r>
      <w:r>
        <w:rPr>
          <w:rFonts w:hint="eastAsia" w:ascii="仿宋_GB2312" w:hAnsi="仿宋_GB2312" w:eastAsia="仿宋_GB2312" w:cs="仿宋_GB2312"/>
          <w:color w:val="auto"/>
          <w:sz w:val="32"/>
          <w:szCs w:val="32"/>
          <w:u w:val="none" w:color="auto"/>
          <w:lang w:val="en-US" w:eastAsia="zh-CN"/>
        </w:rPr>
        <w:t>柳州市柳北区鹧鸪江路12号滨江世纪城5栋-1-1号</w:t>
      </w:r>
      <w:r>
        <w:rPr>
          <w:rFonts w:hint="eastAsia" w:ascii="仿宋_GB2312" w:hAnsi="仿宋_GB2312" w:eastAsia="仿宋_GB2312" w:cs="仿宋_GB2312"/>
          <w:color w:val="auto"/>
          <w:kern w:val="2"/>
          <w:sz w:val="32"/>
          <w:szCs w:val="32"/>
          <w:lang w:val="en-US" w:eastAsia="zh-CN"/>
        </w:rPr>
        <w:t>的</w:t>
      </w:r>
      <w:r>
        <w:rPr>
          <w:rFonts w:hint="eastAsia" w:ascii="仿宋_GB2312" w:hAnsi="仿宋_GB2312" w:eastAsia="仿宋_GB2312" w:cs="仿宋_GB2312"/>
          <w:bCs/>
          <w:color w:val="auto"/>
          <w:sz w:val="32"/>
          <w:szCs w:val="32"/>
          <w:lang w:val="en-US" w:eastAsia="zh-CN"/>
        </w:rPr>
        <w:t>经营场所进行检查，检查时当事人正在从事餐饮服务经营活动，无法向执法人员出示相关证照。</w:t>
      </w:r>
      <w:r>
        <w:rPr>
          <w:rFonts w:hint="eastAsia" w:ascii="仿宋_GB2312" w:hAnsi="仿宋_GB2312" w:eastAsia="仿宋_GB2312" w:cs="仿宋_GB2312"/>
          <w:bCs/>
          <w:color w:val="auto"/>
          <w:sz w:val="32"/>
          <w:szCs w:val="32"/>
        </w:rPr>
        <w:t>我局于202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29</w:t>
      </w:r>
      <w:r>
        <w:rPr>
          <w:rFonts w:hint="eastAsia" w:ascii="仿宋_GB2312" w:hAnsi="仿宋_GB2312" w:eastAsia="仿宋_GB2312" w:cs="仿宋_GB2312"/>
          <w:bCs/>
          <w:color w:val="auto"/>
          <w:sz w:val="32"/>
          <w:szCs w:val="32"/>
        </w:rPr>
        <w:t>日对当事人</w:t>
      </w:r>
      <w:r>
        <w:rPr>
          <w:rFonts w:hint="eastAsia" w:ascii="仿宋_GB2312" w:hAnsi="仿宋_GB2312" w:eastAsia="仿宋_GB2312" w:cs="仿宋_GB2312"/>
          <w:bCs/>
          <w:color w:val="auto"/>
          <w:sz w:val="32"/>
          <w:szCs w:val="32"/>
          <w:u w:val="none"/>
        </w:rPr>
        <w:t>涉嫌</w:t>
      </w:r>
      <w:r>
        <w:rPr>
          <w:rFonts w:hint="eastAsia" w:ascii="仿宋_GB2312" w:hAnsi="仿宋_GB2312" w:eastAsia="仿宋_GB2312" w:cs="仿宋_GB2312"/>
          <w:bCs/>
          <w:color w:val="auto"/>
          <w:sz w:val="32"/>
          <w:szCs w:val="32"/>
          <w:u w:val="none"/>
          <w:lang w:val="en-US" w:eastAsia="zh-CN"/>
        </w:rPr>
        <w:t>未经许可从事食品经营活动的行为</w:t>
      </w:r>
      <w:r>
        <w:rPr>
          <w:rFonts w:hint="eastAsia" w:ascii="仿宋_GB2312" w:hAnsi="仿宋_GB2312" w:eastAsia="仿宋_GB2312" w:cs="仿宋_GB2312"/>
          <w:bCs/>
          <w:color w:val="auto"/>
          <w:sz w:val="32"/>
          <w:szCs w:val="32"/>
        </w:rPr>
        <w:t>进行立案调查。</w:t>
      </w:r>
    </w:p>
    <w:p w14:paraId="513D2E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经查实，</w:t>
      </w:r>
      <w:r>
        <w:rPr>
          <w:rFonts w:hint="eastAsia" w:ascii="仿宋_GB2312" w:hAnsi="仿宋_GB2312" w:eastAsia="仿宋_GB2312" w:cs="仿宋_GB2312"/>
          <w:bCs/>
          <w:color w:val="auto"/>
          <w:sz w:val="32"/>
          <w:szCs w:val="32"/>
          <w:lang w:eastAsia="zh-CN"/>
        </w:rPr>
        <w:t>当事人</w:t>
      </w:r>
      <w:r>
        <w:rPr>
          <w:rFonts w:hint="eastAsia" w:ascii="仿宋_GB2312" w:hAnsi="仿宋_GB2312" w:eastAsia="仿宋_GB2312" w:cs="仿宋_GB2312"/>
          <w:bCs/>
          <w:color w:val="auto"/>
          <w:sz w:val="32"/>
          <w:szCs w:val="32"/>
          <w:lang w:val="en-US" w:eastAsia="zh-CN"/>
        </w:rPr>
        <w:t>于</w:t>
      </w:r>
      <w:r>
        <w:rPr>
          <w:rFonts w:hint="eastAsia" w:ascii="仿宋_GB2312" w:hAnsi="仿宋_GB2312" w:eastAsia="仿宋_GB2312" w:cs="仿宋_GB2312"/>
          <w:bCs/>
          <w:color w:val="auto"/>
          <w:sz w:val="32"/>
          <w:szCs w:val="32"/>
          <w:highlight w:val="none"/>
          <w:lang w:val="en-US" w:eastAsia="zh-CN"/>
        </w:rPr>
        <w:t>2024年4月</w:t>
      </w:r>
      <w:r>
        <w:rPr>
          <w:rFonts w:hint="eastAsia" w:ascii="仿宋_GB2312" w:hAnsi="仿宋_GB2312" w:eastAsia="仿宋_GB2312" w:cs="仿宋_GB2312"/>
          <w:bCs/>
          <w:color w:val="auto"/>
          <w:sz w:val="32"/>
          <w:szCs w:val="32"/>
          <w:lang w:val="en-US" w:eastAsia="zh-CN"/>
        </w:rPr>
        <w:t>开始，</w:t>
      </w:r>
      <w:r>
        <w:rPr>
          <w:rFonts w:hint="eastAsia" w:ascii="仿宋_GB2312" w:hAnsi="仿宋_GB2312" w:eastAsia="仿宋_GB2312" w:cs="仿宋_GB2312"/>
          <w:bCs/>
          <w:strike w:val="0"/>
          <w:dstrike w:val="0"/>
          <w:color w:val="auto"/>
          <w:sz w:val="32"/>
          <w:szCs w:val="32"/>
          <w:u w:val="none"/>
          <w:lang w:val="en-US" w:eastAsia="zh-CN"/>
        </w:rPr>
        <w:t>在未依法取得</w:t>
      </w:r>
      <w:r>
        <w:rPr>
          <w:rFonts w:hint="eastAsia" w:ascii="仿宋_GB2312" w:hAnsi="仿宋_GB2312" w:eastAsia="仿宋_GB2312" w:cs="仿宋_GB2312"/>
          <w:bCs/>
          <w:color w:val="auto"/>
          <w:sz w:val="32"/>
          <w:szCs w:val="32"/>
          <w:lang w:eastAsia="zh-CN"/>
        </w:rPr>
        <w:t>食品经营许可</w:t>
      </w:r>
      <w:r>
        <w:rPr>
          <w:rFonts w:hint="eastAsia" w:ascii="仿宋_GB2312" w:hAnsi="仿宋_GB2312" w:eastAsia="仿宋_GB2312" w:cs="仿宋_GB2312"/>
          <w:bCs/>
          <w:strike w:val="0"/>
          <w:dstrike w:val="0"/>
          <w:color w:val="auto"/>
          <w:sz w:val="32"/>
          <w:szCs w:val="32"/>
          <w:u w:val="none"/>
          <w:lang w:val="en-US" w:eastAsia="zh-CN"/>
        </w:rPr>
        <w:t>的情况下</w:t>
      </w:r>
      <w:r>
        <w:rPr>
          <w:rFonts w:hint="eastAsia" w:ascii="仿宋_GB2312" w:hAnsi="仿宋_GB2312" w:eastAsia="仿宋_GB2312" w:cs="仿宋_GB2312"/>
          <w:bCs/>
          <w:color w:val="auto"/>
          <w:sz w:val="32"/>
          <w:szCs w:val="32"/>
          <w:lang w:val="en-US" w:eastAsia="zh-CN"/>
        </w:rPr>
        <w:t>，在广西壮族自治区</w:t>
      </w:r>
      <w:r>
        <w:rPr>
          <w:rFonts w:hint="eastAsia" w:ascii="仿宋_GB2312" w:hAnsi="仿宋_GB2312" w:eastAsia="仿宋_GB2312" w:cs="仿宋_GB2312"/>
          <w:color w:val="auto"/>
          <w:sz w:val="32"/>
          <w:szCs w:val="32"/>
          <w:u w:val="none" w:color="auto"/>
          <w:lang w:val="en-US" w:eastAsia="zh-CN"/>
        </w:rPr>
        <w:t>柳州市柳北区鹧鸪江路12号滨江世纪城5栋-1-1号</w:t>
      </w:r>
      <w:r>
        <w:rPr>
          <w:rFonts w:hint="eastAsia" w:ascii="仿宋_GB2312" w:hAnsi="仿宋_GB2312" w:eastAsia="仿宋_GB2312" w:cs="仿宋_GB2312"/>
          <w:bCs/>
          <w:strike w:val="0"/>
          <w:dstrike w:val="0"/>
          <w:color w:val="auto"/>
          <w:sz w:val="32"/>
          <w:szCs w:val="32"/>
          <w:u w:val="none"/>
          <w:lang w:val="en-US" w:eastAsia="zh-CN"/>
        </w:rPr>
        <w:t>从事</w:t>
      </w:r>
      <w:r>
        <w:rPr>
          <w:rFonts w:hint="eastAsia" w:ascii="仿宋_GB2312" w:hAnsi="仿宋_GB2312" w:eastAsia="仿宋_GB2312" w:cs="仿宋_GB2312"/>
          <w:strike w:val="0"/>
          <w:dstrike w:val="0"/>
          <w:color w:val="auto"/>
          <w:sz w:val="32"/>
          <w:szCs w:val="32"/>
          <w:u w:val="none"/>
          <w:lang w:val="en-US" w:eastAsia="zh-CN"/>
        </w:rPr>
        <w:t>餐饮服务经营</w:t>
      </w:r>
      <w:r>
        <w:rPr>
          <w:rFonts w:hint="eastAsia" w:ascii="仿宋_GB2312" w:hAnsi="仿宋_GB2312" w:eastAsia="仿宋_GB2312" w:cs="仿宋_GB2312"/>
          <w:color w:val="auto"/>
          <w:spacing w:val="0"/>
          <w:sz w:val="32"/>
          <w:szCs w:val="32"/>
          <w:lang w:val="en-US" w:eastAsia="zh-CN"/>
        </w:rPr>
        <w:t>活动</w:t>
      </w:r>
      <w:r>
        <w:rPr>
          <w:rFonts w:hint="eastAsia" w:ascii="仿宋_GB2312" w:hAnsi="仿宋_GB2312" w:eastAsia="仿宋_GB2312" w:cs="仿宋_GB2312"/>
          <w:bCs/>
          <w:color w:val="auto"/>
          <w:sz w:val="32"/>
          <w:szCs w:val="32"/>
          <w:lang w:val="en-US" w:eastAsia="zh-CN"/>
        </w:rPr>
        <w:t>，于2025年4月16日被我局依法查获，由于当事人未作经营台账，故经营性收入无法计算</w:t>
      </w:r>
      <w:r>
        <w:rPr>
          <w:rFonts w:hint="eastAsia" w:ascii="仿宋_GB2312" w:hAnsi="仿宋_GB2312" w:eastAsia="仿宋_GB2312" w:cs="仿宋_GB2312"/>
          <w:bCs/>
          <w:color w:val="auto"/>
          <w:sz w:val="32"/>
          <w:szCs w:val="32"/>
          <w:u w:val="none"/>
          <w:lang w:val="en-US" w:eastAsia="zh-CN"/>
        </w:rPr>
        <w:t>。</w:t>
      </w:r>
    </w:p>
    <w:p w14:paraId="19FB051A">
      <w:pPr>
        <w:keepNext w:val="0"/>
        <w:keepLines w:val="0"/>
        <w:pageBreakBefore w:val="0"/>
        <w:widowControl w:val="0"/>
        <w:kinsoku/>
        <w:wordWrap/>
        <w:overflowPunct/>
        <w:topLinePunct w:val="0"/>
        <w:autoSpaceDE/>
        <w:autoSpaceDN/>
        <w:bidi w:val="0"/>
        <w:snapToGrid/>
        <w:spacing w:line="240" w:lineRule="auto"/>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上述事实，主要有以下证据证明：</w:t>
      </w:r>
    </w:p>
    <w:p w14:paraId="1BF5D4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color w:val="auto"/>
          <w:kern w:val="1"/>
          <w:sz w:val="32"/>
          <w:szCs w:val="32"/>
          <w:lang w:eastAsia="zh-CN"/>
        </w:rPr>
        <w:t>当事人《营业执照》复印件</w:t>
      </w:r>
      <w:r>
        <w:rPr>
          <w:rFonts w:hint="eastAsia" w:ascii="仿宋_GB2312" w:hAnsi="仿宋_GB2312" w:eastAsia="仿宋_GB2312" w:cs="仿宋_GB2312"/>
          <w:color w:val="auto"/>
          <w:kern w:val="1"/>
          <w:sz w:val="32"/>
          <w:szCs w:val="32"/>
          <w:lang w:val="en-US" w:eastAsia="zh-CN"/>
        </w:rPr>
        <w:t>2份，</w:t>
      </w:r>
      <w:r>
        <w:rPr>
          <w:rFonts w:hint="eastAsia" w:ascii="仿宋_GB2312" w:hAnsi="仿宋_GB2312" w:eastAsia="仿宋_GB2312" w:cs="仿宋_GB2312"/>
          <w:color w:val="auto"/>
          <w:kern w:val="1"/>
          <w:sz w:val="32"/>
          <w:szCs w:val="32"/>
          <w:lang w:eastAsia="zh-CN"/>
        </w:rPr>
        <w:t>法定代表人</w:t>
      </w:r>
      <w:r>
        <w:rPr>
          <w:rFonts w:hint="eastAsia" w:ascii="仿宋_GB2312" w:hAnsi="仿宋_GB2312" w:eastAsia="仿宋_GB2312" w:cs="仿宋_GB2312"/>
          <w:bCs/>
          <w:color w:val="auto"/>
          <w:sz w:val="32"/>
          <w:szCs w:val="32"/>
        </w:rPr>
        <w:t>身份证复印件</w:t>
      </w:r>
      <w:r>
        <w:rPr>
          <w:rFonts w:hint="eastAsia" w:ascii="仿宋_GB2312" w:hAnsi="仿宋_GB2312" w:eastAsia="仿宋_GB2312" w:cs="仿宋_GB2312"/>
          <w:color w:val="auto"/>
          <w:sz w:val="32"/>
          <w:szCs w:val="32"/>
          <w:lang w:eastAsia="zh-CN"/>
        </w:rPr>
        <w:t>一份，</w:t>
      </w:r>
      <w:r>
        <w:rPr>
          <w:rFonts w:hint="eastAsia" w:ascii="仿宋_GB2312" w:hAnsi="仿宋_GB2312" w:eastAsia="仿宋_GB2312" w:cs="仿宋_GB2312"/>
          <w:bCs/>
          <w:color w:val="auto"/>
          <w:sz w:val="32"/>
          <w:szCs w:val="32"/>
        </w:rPr>
        <w:t>证明</w:t>
      </w:r>
      <w:r>
        <w:rPr>
          <w:rFonts w:hint="eastAsia" w:ascii="仿宋_GB2312" w:hAnsi="仿宋_GB2312" w:eastAsia="仿宋_GB2312" w:cs="仿宋_GB2312"/>
          <w:bCs/>
          <w:color w:val="auto"/>
          <w:sz w:val="32"/>
          <w:szCs w:val="32"/>
          <w:lang w:val="en-US" w:eastAsia="zh-CN" w:bidi="ar-SA"/>
        </w:rPr>
        <w:t>当事人的经营主体资格及经营者</w:t>
      </w:r>
      <w:r>
        <w:rPr>
          <w:rFonts w:hint="eastAsia" w:ascii="仿宋_GB2312" w:hAnsi="仿宋_GB2312" w:eastAsia="仿宋_GB2312" w:cs="仿宋_GB2312"/>
          <w:bCs/>
          <w:color w:val="auto"/>
          <w:sz w:val="32"/>
          <w:szCs w:val="32"/>
        </w:rPr>
        <w:t>的身份信息。</w:t>
      </w:r>
    </w:p>
    <w:p w14:paraId="2B0567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rPr>
        <w:t>2.现场笔录</w:t>
      </w:r>
      <w:r>
        <w:rPr>
          <w:rFonts w:hint="eastAsia" w:ascii="仿宋_GB2312" w:hAnsi="仿宋_GB2312" w:eastAsia="仿宋_GB2312" w:cs="仿宋_GB2312"/>
          <w:bCs/>
          <w:color w:val="auto"/>
          <w:sz w:val="32"/>
          <w:szCs w:val="32"/>
          <w:lang w:eastAsia="zh-CN"/>
        </w:rPr>
        <w:t>一</w:t>
      </w:r>
      <w:r>
        <w:rPr>
          <w:rFonts w:hint="eastAsia" w:ascii="仿宋_GB2312" w:hAnsi="仿宋_GB2312" w:eastAsia="仿宋_GB2312" w:cs="仿宋_GB2312"/>
          <w:bCs/>
          <w:color w:val="auto"/>
          <w:sz w:val="32"/>
          <w:szCs w:val="32"/>
        </w:rPr>
        <w:t>份</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询问笔录</w:t>
      </w:r>
      <w:r>
        <w:rPr>
          <w:rFonts w:hint="eastAsia" w:ascii="仿宋_GB2312" w:hAnsi="仿宋_GB2312" w:eastAsia="仿宋_GB2312" w:cs="仿宋_GB2312"/>
          <w:bCs/>
          <w:color w:val="auto"/>
          <w:sz w:val="32"/>
          <w:szCs w:val="32"/>
          <w:lang w:eastAsia="zh-CN"/>
        </w:rPr>
        <w:t>一</w:t>
      </w:r>
      <w:r>
        <w:rPr>
          <w:rFonts w:hint="eastAsia" w:ascii="仿宋_GB2312" w:hAnsi="仿宋_GB2312" w:eastAsia="仿宋_GB2312" w:cs="仿宋_GB2312"/>
          <w:bCs/>
          <w:color w:val="auto"/>
          <w:sz w:val="32"/>
          <w:szCs w:val="32"/>
        </w:rPr>
        <w:t>份，证据提取单</w:t>
      </w:r>
      <w:r>
        <w:rPr>
          <w:rFonts w:hint="eastAsia" w:ascii="仿宋_GB2312" w:hAnsi="仿宋_GB2312" w:eastAsia="仿宋_GB2312" w:cs="仿宋_GB2312"/>
          <w:bCs/>
          <w:color w:val="auto"/>
          <w:sz w:val="32"/>
          <w:szCs w:val="32"/>
          <w:highlight w:val="none"/>
          <w:lang w:eastAsia="zh-CN"/>
        </w:rPr>
        <w:t>三</w:t>
      </w:r>
      <w:r>
        <w:rPr>
          <w:rFonts w:hint="eastAsia" w:ascii="仿宋_GB2312" w:hAnsi="仿宋_GB2312" w:eastAsia="仿宋_GB2312" w:cs="仿宋_GB2312"/>
          <w:bCs/>
          <w:color w:val="auto"/>
          <w:sz w:val="32"/>
          <w:szCs w:val="32"/>
          <w:highlight w:val="none"/>
        </w:rPr>
        <w:t>份</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证明当事人</w:t>
      </w:r>
      <w:r>
        <w:rPr>
          <w:rFonts w:hint="eastAsia" w:ascii="仿宋_GB2312" w:hAnsi="仿宋_GB2312" w:eastAsia="仿宋_GB2312" w:cs="仿宋_GB2312"/>
          <w:bCs/>
          <w:strike w:val="0"/>
          <w:dstrike w:val="0"/>
          <w:color w:val="auto"/>
          <w:sz w:val="32"/>
          <w:szCs w:val="32"/>
          <w:u w:val="none"/>
          <w:lang w:val="en-US" w:eastAsia="zh-CN"/>
        </w:rPr>
        <w:t>在未依法取得</w:t>
      </w:r>
      <w:r>
        <w:rPr>
          <w:rFonts w:hint="eastAsia" w:ascii="仿宋_GB2312" w:hAnsi="仿宋_GB2312" w:eastAsia="仿宋_GB2312" w:cs="仿宋_GB2312"/>
          <w:bCs/>
          <w:color w:val="auto"/>
          <w:sz w:val="32"/>
          <w:szCs w:val="32"/>
          <w:lang w:eastAsia="zh-CN"/>
        </w:rPr>
        <w:t>食品经营许可</w:t>
      </w:r>
      <w:r>
        <w:rPr>
          <w:rFonts w:hint="eastAsia" w:ascii="仿宋_GB2312" w:hAnsi="仿宋_GB2312" w:eastAsia="仿宋_GB2312" w:cs="仿宋_GB2312"/>
          <w:bCs/>
          <w:strike w:val="0"/>
          <w:dstrike w:val="0"/>
          <w:color w:val="auto"/>
          <w:sz w:val="32"/>
          <w:szCs w:val="32"/>
          <w:u w:val="none"/>
          <w:lang w:val="en-US" w:eastAsia="zh-CN"/>
        </w:rPr>
        <w:t>的情况下</w:t>
      </w:r>
      <w:r>
        <w:rPr>
          <w:rFonts w:hint="eastAsia" w:ascii="仿宋_GB2312" w:hAnsi="仿宋_GB2312" w:eastAsia="仿宋_GB2312" w:cs="仿宋_GB2312"/>
          <w:bCs/>
          <w:color w:val="auto"/>
          <w:sz w:val="32"/>
          <w:szCs w:val="32"/>
          <w:lang w:val="en-US" w:eastAsia="zh-CN"/>
        </w:rPr>
        <w:t>在广西壮族自治区</w:t>
      </w:r>
      <w:r>
        <w:rPr>
          <w:rFonts w:hint="eastAsia" w:ascii="仿宋_GB2312" w:hAnsi="仿宋_GB2312" w:eastAsia="仿宋_GB2312" w:cs="仿宋_GB2312"/>
          <w:color w:val="auto"/>
          <w:sz w:val="32"/>
          <w:szCs w:val="32"/>
          <w:u w:val="none" w:color="auto"/>
          <w:lang w:val="en-US" w:eastAsia="zh-CN"/>
        </w:rPr>
        <w:t>柳州市柳北区鹧鸪江路12号滨江世纪城5栋-1-1号</w:t>
      </w:r>
      <w:r>
        <w:rPr>
          <w:rFonts w:hint="eastAsia" w:ascii="仿宋_GB2312" w:hAnsi="仿宋_GB2312" w:eastAsia="仿宋_GB2312" w:cs="仿宋_GB2312"/>
          <w:bCs/>
          <w:color w:val="auto"/>
          <w:sz w:val="32"/>
          <w:szCs w:val="32"/>
          <w:u w:val="none"/>
          <w:lang w:val="en-US" w:eastAsia="zh-CN"/>
        </w:rPr>
        <w:t>从事</w:t>
      </w:r>
      <w:r>
        <w:rPr>
          <w:rFonts w:hint="eastAsia" w:ascii="仿宋_GB2312" w:hAnsi="仿宋_GB2312" w:eastAsia="仿宋_GB2312" w:cs="仿宋_GB2312"/>
          <w:strike w:val="0"/>
          <w:dstrike w:val="0"/>
          <w:color w:val="auto"/>
          <w:sz w:val="32"/>
          <w:szCs w:val="32"/>
          <w:u w:val="none"/>
          <w:lang w:val="en-US" w:eastAsia="zh-CN"/>
        </w:rPr>
        <w:t>餐饮服务经营</w:t>
      </w:r>
      <w:r>
        <w:rPr>
          <w:rFonts w:hint="eastAsia" w:ascii="仿宋_GB2312" w:hAnsi="仿宋_GB2312" w:eastAsia="仿宋_GB2312" w:cs="仿宋_GB2312"/>
          <w:color w:val="auto"/>
          <w:spacing w:val="0"/>
          <w:sz w:val="32"/>
          <w:szCs w:val="32"/>
          <w:lang w:val="en-US" w:eastAsia="zh-CN"/>
        </w:rPr>
        <w:t>活动</w:t>
      </w:r>
      <w:r>
        <w:rPr>
          <w:rFonts w:hint="eastAsia" w:ascii="仿宋_GB2312" w:hAnsi="仿宋_GB2312" w:eastAsia="仿宋_GB2312" w:cs="仿宋_GB2312"/>
          <w:bCs/>
          <w:color w:val="auto"/>
          <w:sz w:val="32"/>
          <w:szCs w:val="32"/>
        </w:rPr>
        <w:t>的事实</w:t>
      </w:r>
      <w:r>
        <w:rPr>
          <w:rFonts w:hint="eastAsia" w:ascii="仿宋_GB2312" w:hAnsi="仿宋_GB2312" w:eastAsia="仿宋_GB2312" w:cs="仿宋_GB2312"/>
          <w:bCs/>
          <w:color w:val="auto"/>
          <w:sz w:val="32"/>
          <w:szCs w:val="32"/>
          <w:u w:val="none"/>
          <w:lang w:val="en-US" w:eastAsia="zh-CN"/>
        </w:rPr>
        <w:t>。</w:t>
      </w:r>
    </w:p>
    <w:p w14:paraId="05488D6B">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Cs/>
          <w:color w:val="auto"/>
          <w:sz w:val="32"/>
          <w:szCs w:val="32"/>
          <w:lang w:val="en-US" w:eastAsia="zh-CN" w:bidi="ar-SA"/>
        </w:rPr>
        <w:t>3、</w:t>
      </w:r>
      <w:r>
        <w:rPr>
          <w:rFonts w:hint="eastAsia" w:ascii="仿宋_GB2312" w:hAnsi="仿宋_GB2312" w:eastAsia="仿宋_GB2312" w:cs="仿宋_GB2312"/>
          <w:bCs/>
          <w:color w:val="auto"/>
          <w:sz w:val="32"/>
          <w:szCs w:val="32"/>
          <w:highlight w:val="none"/>
          <w:lang w:val="en-US" w:eastAsia="zh-CN" w:bidi="ar-SA"/>
        </w:rPr>
        <w:t>《食品经营许可证》复印件1份，证明当事人的整改情况。</w:t>
      </w:r>
    </w:p>
    <w:p w14:paraId="2D3691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以上证据均由</w:t>
      </w:r>
      <w:r>
        <w:rPr>
          <w:rFonts w:hint="eastAsia" w:ascii="仿宋_GB2312" w:hAnsi="仿宋_GB2312" w:eastAsia="仿宋_GB2312" w:cs="仿宋_GB2312"/>
          <w:bCs/>
          <w:color w:val="auto"/>
          <w:sz w:val="32"/>
          <w:szCs w:val="32"/>
          <w:lang w:eastAsia="zh-CN"/>
        </w:rPr>
        <w:t>当事人的法定代表人签名</w:t>
      </w:r>
      <w:r>
        <w:rPr>
          <w:rFonts w:hint="eastAsia" w:ascii="仿宋_GB2312" w:hAnsi="仿宋_GB2312" w:eastAsia="仿宋_GB2312" w:cs="仿宋_GB2312"/>
          <w:bCs/>
          <w:color w:val="auto"/>
          <w:sz w:val="32"/>
          <w:szCs w:val="32"/>
        </w:rPr>
        <w:t>认可。</w:t>
      </w:r>
    </w:p>
    <w:p w14:paraId="10A3059F">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SA"/>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日我局向当事人送达了《行政处罚告知书》（柳北市监罚告〔202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186</w:t>
      </w:r>
      <w:r>
        <w:rPr>
          <w:rFonts w:hint="eastAsia" w:ascii="仿宋_GB2312" w:hAnsi="仿宋_GB2312" w:eastAsia="仿宋_GB2312" w:cs="仿宋_GB2312"/>
          <w:color w:val="auto"/>
          <w:sz w:val="32"/>
          <w:szCs w:val="32"/>
          <w:highlight w:val="none"/>
        </w:rPr>
        <w:t>号），告知当事人我局</w:t>
      </w:r>
      <w:r>
        <w:rPr>
          <w:rFonts w:hint="eastAsia" w:ascii="仿宋_GB2312" w:hAnsi="仿宋_GB2312" w:eastAsia="仿宋_GB2312" w:cs="仿宋_GB2312"/>
          <w:color w:val="auto"/>
          <w:kern w:val="0"/>
          <w:sz w:val="32"/>
          <w:szCs w:val="32"/>
          <w:highlight w:val="none"/>
          <w:u w:val="none" w:color="auto"/>
          <w:lang w:val="en-US" w:eastAsia="zh-CN" w:bidi="ar-SA"/>
        </w:rPr>
        <w:t>拟作出行政处罚的事实、理由、依据、处罚内容及享有的权利。当事人在法定期限内未提出陈述、申辩。</w:t>
      </w:r>
    </w:p>
    <w:p w14:paraId="51BF19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lang w:eastAsia="zh-CN"/>
        </w:rPr>
        <w:t>当事人的上述行为，</w:t>
      </w:r>
      <w:r>
        <w:rPr>
          <w:rFonts w:hint="eastAsia" w:ascii="仿宋_GB2312" w:hAnsi="仿宋_GB2312" w:eastAsia="仿宋_GB2312" w:cs="仿宋_GB2312"/>
          <w:color w:val="auto"/>
          <w:sz w:val="32"/>
          <w:szCs w:val="32"/>
        </w:rPr>
        <w:t>违反了</w:t>
      </w:r>
      <w:r>
        <w:rPr>
          <w:rFonts w:hint="eastAsia" w:ascii="仿宋_GB2312" w:hAnsi="仿宋_GB2312" w:eastAsia="仿宋_GB2312" w:cs="仿宋_GB2312"/>
          <w:bCs/>
          <w:color w:val="auto"/>
          <w:sz w:val="32"/>
          <w:szCs w:val="32"/>
          <w:lang w:eastAsia="zh-CN"/>
        </w:rPr>
        <w:t>《中华人民共和国食品安全法》第三十五条第一款</w:t>
      </w:r>
      <w:r>
        <w:rPr>
          <w:rFonts w:hint="eastAsia" w:ascii="仿宋_GB2312" w:hAnsi="仿宋_GB2312" w:eastAsia="仿宋_GB2312" w:cs="仿宋_GB2312"/>
          <w:color w:val="auto"/>
          <w:sz w:val="32"/>
          <w:szCs w:val="32"/>
        </w:rPr>
        <w:t>的规定</w:t>
      </w:r>
      <w:r>
        <w:rPr>
          <w:rFonts w:hint="eastAsia" w:ascii="仿宋_GB2312" w:hAnsi="仿宋_GB2312" w:eastAsia="仿宋_GB2312" w:cs="仿宋_GB2312"/>
          <w:bCs/>
          <w:color w:val="auto"/>
          <w:sz w:val="32"/>
          <w:szCs w:val="32"/>
          <w:lang w:eastAsia="zh-CN"/>
        </w:rPr>
        <w:t>，属于未取得食品经营许可从事食品经营活动的行为。</w:t>
      </w:r>
      <w:r>
        <w:rPr>
          <w:rFonts w:hint="eastAsia" w:ascii="仿宋_GB2312" w:hAnsi="仿宋_GB2312" w:eastAsia="仿宋_GB2312" w:cs="仿宋_GB2312"/>
          <w:color w:val="auto"/>
          <w:sz w:val="32"/>
          <w:szCs w:val="32"/>
          <w:lang w:val="en-US" w:eastAsia="zh-CN"/>
        </w:rPr>
        <w:t>本案货值金额及违法所得无法计算。</w:t>
      </w:r>
    </w:p>
    <w:p w14:paraId="5EF652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color="auto"/>
          <w:lang w:val="en-US" w:eastAsia="zh-CN" w:bidi="ar-SA"/>
        </w:rPr>
      </w:pPr>
      <w:r>
        <w:rPr>
          <w:rFonts w:hint="eastAsia" w:ascii="仿宋_GB2312" w:hAnsi="仿宋_GB2312" w:eastAsia="仿宋_GB2312" w:cs="仿宋_GB2312"/>
          <w:bCs/>
          <w:color w:val="auto"/>
          <w:sz w:val="32"/>
          <w:szCs w:val="32"/>
          <w:lang w:eastAsia="zh-CN"/>
        </w:rPr>
        <w:t>当事人系从事养老托管服务工作，目前服务对象人数</w:t>
      </w:r>
      <w:r>
        <w:rPr>
          <w:rFonts w:hint="eastAsia" w:ascii="仿宋_GB2312" w:hAnsi="仿宋_GB2312" w:eastAsia="仿宋_GB2312" w:cs="仿宋_GB2312"/>
          <w:bCs/>
          <w:color w:val="auto"/>
          <w:sz w:val="32"/>
          <w:szCs w:val="32"/>
          <w:lang w:val="en-US" w:eastAsia="zh-CN"/>
        </w:rPr>
        <w:t>10人</w:t>
      </w:r>
      <w:r>
        <w:rPr>
          <w:rFonts w:hint="eastAsia" w:ascii="仿宋_GB2312" w:hAnsi="仿宋_GB2312" w:eastAsia="仿宋_GB2312" w:cs="仿宋_GB2312"/>
          <w:bCs/>
          <w:color w:val="auto"/>
          <w:sz w:val="32"/>
          <w:szCs w:val="32"/>
          <w:lang w:eastAsia="zh-CN"/>
        </w:rPr>
        <w:t>，在当事人接手该场地前的经营者</w:t>
      </w:r>
      <w:r>
        <w:rPr>
          <w:rFonts w:hint="eastAsia" w:ascii="仿宋_GB2312" w:hAnsi="仿宋_GB2312" w:eastAsia="仿宋_GB2312" w:cs="仿宋_GB2312"/>
          <w:bCs/>
          <w:color w:val="auto"/>
          <w:sz w:val="32"/>
          <w:szCs w:val="32"/>
          <w:lang w:val="en-US" w:eastAsia="zh-CN"/>
        </w:rPr>
        <w:t>柳州市柳北区积善之家养老服务中心取得许可证编号为JY34502050082156的《食品经营许可证》，具备餐饮服务经营条件，在2024年4月当事人接手后未改变场地布局、设备设施等经营条件，直接接触食品的人员已取得健康证明，</w:t>
      </w:r>
      <w:r>
        <w:rPr>
          <w:rFonts w:hint="eastAsia" w:ascii="仿宋_GB2312" w:hAnsi="仿宋_GB2312" w:eastAsia="仿宋_GB2312" w:cs="仿宋_GB2312"/>
          <w:bCs/>
          <w:color w:val="auto"/>
          <w:sz w:val="32"/>
          <w:szCs w:val="32"/>
          <w:lang w:eastAsia="zh-CN"/>
        </w:rPr>
        <w:t>仅因运营机构变更而未及时办理并取得食品经营许可，</w:t>
      </w:r>
      <w:r>
        <w:rPr>
          <w:rFonts w:hint="eastAsia" w:ascii="仿宋_GB2312" w:hAnsi="仿宋_GB2312" w:eastAsia="仿宋_GB2312" w:cs="仿宋_GB2312"/>
          <w:bCs/>
          <w:strike w:val="0"/>
          <w:dstrike w:val="0"/>
          <w:color w:val="auto"/>
          <w:sz w:val="32"/>
          <w:szCs w:val="32"/>
          <w:lang w:val="en-US" w:eastAsia="zh-CN"/>
        </w:rPr>
        <w:t>我局迄今为止未收到关于当事人的投诉举报信息。</w:t>
      </w:r>
      <w:r>
        <w:rPr>
          <w:rFonts w:hint="eastAsia" w:ascii="仿宋_GB2312" w:hAnsi="仿宋_GB2312" w:eastAsia="仿宋_GB2312" w:cs="仿宋_GB2312"/>
          <w:bCs/>
          <w:color w:val="auto"/>
          <w:sz w:val="32"/>
          <w:szCs w:val="32"/>
          <w:lang w:eastAsia="zh-CN"/>
        </w:rPr>
        <w:t>当事人在案件调查过程中</w:t>
      </w:r>
      <w:r>
        <w:rPr>
          <w:rFonts w:hint="eastAsia" w:ascii="仿宋_GB2312" w:hAnsi="仿宋_GB2312" w:eastAsia="仿宋_GB2312" w:cs="仿宋_GB2312"/>
          <w:color w:val="auto"/>
          <w:sz w:val="32"/>
          <w:szCs w:val="32"/>
          <w:lang w:val="en-US" w:eastAsia="zh-CN"/>
        </w:rPr>
        <w:t>积极配合我局调查，如实陈述违法事实，主动提供相关证据材料，</w:t>
      </w:r>
      <w:r>
        <w:rPr>
          <w:rFonts w:hint="eastAsia" w:ascii="仿宋_GB2312" w:hAnsi="仿宋_GB2312" w:eastAsia="仿宋_GB2312" w:cs="仿宋_GB2312"/>
          <w:bCs/>
          <w:strike w:val="0"/>
          <w:dstrike w:val="0"/>
          <w:color w:val="auto"/>
          <w:sz w:val="32"/>
          <w:szCs w:val="32"/>
          <w:lang w:val="en-US" w:eastAsia="zh-CN"/>
        </w:rPr>
        <w:t>积极整改，于2025年8月14日取得《食品经营许可证》，主动减轻违法行为危害后果。当事人</w:t>
      </w:r>
      <w:r>
        <w:rPr>
          <w:rFonts w:hint="eastAsia" w:ascii="仿宋_GB2312" w:hAnsi="仿宋_GB2312" w:eastAsia="仿宋_GB2312" w:cs="仿宋_GB2312"/>
          <w:bCs/>
          <w:color w:val="auto"/>
          <w:sz w:val="32"/>
          <w:szCs w:val="32"/>
          <w:highlight w:val="none"/>
          <w:u w:val="none" w:color="auto"/>
          <w:lang w:val="en-US" w:eastAsia="zh-CN"/>
        </w:rPr>
        <w:t>具有市场监管总局《关于规范市场监督管理行政处罚裁量权的指导意见》</w:t>
      </w:r>
      <w:r>
        <w:rPr>
          <w:rFonts w:hint="default" w:ascii="仿宋_GB2312" w:hAnsi="仿宋_GB2312" w:eastAsia="仿宋_GB2312" w:cs="仿宋_GB2312"/>
          <w:bCs/>
          <w:strike w:val="0"/>
          <w:dstrike w:val="0"/>
          <w:color w:val="auto"/>
          <w:sz w:val="32"/>
          <w:szCs w:val="32"/>
          <w:lang w:val="en-US" w:eastAsia="zh-CN"/>
        </w:rPr>
        <w:t>第十三条第一款第二项</w:t>
      </w:r>
      <w:r>
        <w:rPr>
          <w:rFonts w:hint="default" w:ascii="Times New Roman" w:hAnsi="Times New Roman" w:eastAsia="仿宋_GB2312" w:cs="Times New Roman"/>
          <w:color w:val="auto"/>
          <w:sz w:val="32"/>
          <w:szCs w:val="32"/>
        </w:rPr>
        <w:t>、</w:t>
      </w:r>
      <w:r>
        <w:rPr>
          <w:rFonts w:hint="eastAsia" w:ascii="仿宋_GB2312" w:hAnsi="仿宋_GB2312" w:eastAsia="仿宋_GB2312" w:cs="仿宋_GB2312"/>
          <w:bCs/>
          <w:color w:val="auto"/>
          <w:sz w:val="32"/>
          <w:szCs w:val="32"/>
          <w:highlight w:val="none"/>
          <w:u w:val="none" w:color="auto"/>
          <w:lang w:val="en-US" w:eastAsia="zh-CN"/>
        </w:rPr>
        <w:t>第十四条</w:t>
      </w:r>
      <w:r>
        <w:rPr>
          <w:rFonts w:hint="eastAsia" w:ascii="仿宋_GB2312" w:hAnsi="仿宋_GB2312" w:eastAsia="仿宋_GB2312" w:cs="仿宋_GB2312"/>
          <w:color w:val="auto"/>
          <w:sz w:val="32"/>
          <w:szCs w:val="32"/>
          <w:highlight w:val="none"/>
          <w:u w:val="none" w:color="auto"/>
          <w:lang w:val="en-US" w:eastAsia="zh-CN"/>
        </w:rPr>
        <w:t>第一款</w:t>
      </w:r>
      <w:r>
        <w:rPr>
          <w:rFonts w:hint="eastAsia" w:ascii="仿宋_GB2312" w:hAnsi="仿宋_GB2312" w:eastAsia="仿宋_GB2312" w:cs="仿宋_GB2312"/>
          <w:bCs/>
          <w:color w:val="auto"/>
          <w:sz w:val="32"/>
          <w:szCs w:val="32"/>
          <w:highlight w:val="none"/>
          <w:u w:val="none" w:color="auto"/>
          <w:lang w:val="en-US" w:eastAsia="zh-CN"/>
        </w:rPr>
        <w:t>第二项规定的依法从轻或者减轻行政处罚的情形。</w:t>
      </w:r>
      <w:r>
        <w:rPr>
          <w:rFonts w:hint="eastAsia" w:ascii="仿宋_GB2312" w:hAnsi="仿宋_GB2312" w:eastAsia="仿宋_GB2312" w:cs="仿宋_GB2312"/>
          <w:bCs/>
          <w:strike w:val="0"/>
          <w:dstrike w:val="0"/>
          <w:color w:val="auto"/>
          <w:sz w:val="32"/>
          <w:szCs w:val="32"/>
          <w:lang w:val="en-US" w:eastAsia="zh-CN"/>
        </w:rPr>
        <w:t>依据《中华人民共和国行政处罚法》第五条、第六条、</w:t>
      </w:r>
      <w:r>
        <w:rPr>
          <w:rFonts w:hint="default" w:ascii="Times New Roman" w:hAnsi="Times New Roman" w:eastAsia="仿宋_GB2312" w:cs="Times New Roman"/>
          <w:color w:val="auto"/>
          <w:sz w:val="32"/>
          <w:szCs w:val="32"/>
        </w:rPr>
        <w:t>第三十二条第一款第一项</w:t>
      </w:r>
      <w:r>
        <w:rPr>
          <w:rFonts w:hint="eastAsia" w:ascii="仿宋_GB2312" w:hAnsi="仿宋_GB2312" w:eastAsia="仿宋_GB2312" w:cs="仿宋_GB2312"/>
          <w:bCs/>
          <w:strike w:val="0"/>
          <w:dstrike w:val="0"/>
          <w:color w:val="auto"/>
          <w:sz w:val="32"/>
          <w:szCs w:val="32"/>
          <w:lang w:val="en-US" w:eastAsia="zh-CN"/>
        </w:rPr>
        <w:t>的规定，综合考量，我局决定对当事人减轻行政处罚。</w:t>
      </w:r>
      <w:r>
        <w:rPr>
          <w:rFonts w:hint="eastAsia" w:ascii="仿宋_GB2312" w:hAnsi="仿宋_GB2312" w:eastAsia="仿宋_GB2312" w:cs="仿宋_GB2312"/>
          <w:color w:val="auto"/>
          <w:kern w:val="0"/>
          <w:sz w:val="32"/>
          <w:szCs w:val="32"/>
          <w:highlight w:val="none"/>
          <w:u w:val="none" w:color="auto"/>
          <w:lang w:val="en-US" w:eastAsia="zh-CN" w:bidi="ar-SA"/>
        </w:rPr>
        <w:t xml:space="preserve">          </w:t>
      </w:r>
    </w:p>
    <w:p w14:paraId="7A797A1F">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bCs/>
          <w:color w:val="auto"/>
          <w:sz w:val="32"/>
          <w:szCs w:val="32"/>
          <w:lang w:val="en-US" w:eastAsia="zh-CN" w:bidi="ar-SA"/>
        </w:rPr>
        <w:t>依据《中华人民共和国食品安全法》第一百二十二条第一款的规定，</w:t>
      </w:r>
      <w:r>
        <w:rPr>
          <w:rFonts w:hint="eastAsia" w:ascii="仿宋_GB2312" w:hAnsi="仿宋_GB2312" w:eastAsia="仿宋_GB2312" w:cs="仿宋_GB2312"/>
          <w:b w:val="0"/>
          <w:bCs/>
          <w:strike w:val="0"/>
          <w:dstrike w:val="0"/>
          <w:color w:val="auto"/>
          <w:sz w:val="32"/>
          <w:szCs w:val="32"/>
          <w:lang w:val="en-US" w:eastAsia="zh-CN" w:bidi="ar-SA"/>
        </w:rPr>
        <w:t>我局决定</w:t>
      </w:r>
      <w:r>
        <w:rPr>
          <w:rFonts w:hint="eastAsia" w:ascii="仿宋_GB2312" w:hAnsi="仿宋_GB2312" w:eastAsia="仿宋_GB2312" w:cs="仿宋_GB2312"/>
          <w:color w:val="auto"/>
          <w:sz w:val="32"/>
          <w:szCs w:val="32"/>
          <w:shd w:val="clear" w:color="auto" w:fill="FFFFFF"/>
          <w:lang w:val="en-US" w:eastAsia="zh-CN" w:bidi="ar-SA"/>
        </w:rPr>
        <w:t>给予当事人罚款5000元的行政处罚。</w:t>
      </w:r>
    </w:p>
    <w:p w14:paraId="603B8E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当事人应当自收到本行政处罚决定书之日起十五日内，</w:t>
      </w:r>
      <w:r>
        <w:rPr>
          <w:rFonts w:hint="eastAsia" w:ascii="仿宋_GB2312" w:hAnsi="仿宋_GB2312" w:eastAsia="仿宋_GB2312" w:cs="仿宋_GB2312"/>
          <w:color w:val="auto"/>
          <w:sz w:val="32"/>
          <w:szCs w:val="32"/>
          <w:highlight w:val="none"/>
          <w:lang w:val="en-US" w:eastAsia="zh-CN"/>
        </w:rPr>
        <w:t>凭《广西壮族自治区非税收入电子缴款通知书》到中国建设银行缴纳罚款</w:t>
      </w:r>
      <w:r>
        <w:rPr>
          <w:rFonts w:hint="eastAsia" w:ascii="仿宋_GB2312" w:hAnsi="仿宋_GB2312" w:eastAsia="仿宋_GB2312" w:cs="仿宋_GB2312"/>
          <w:color w:val="auto"/>
          <w:kern w:val="0"/>
          <w:sz w:val="32"/>
          <w:szCs w:val="32"/>
          <w:highlight w:val="none"/>
          <w:u w:val="none"/>
          <w:lang w:val="en-US" w:eastAsia="zh-CN" w:bidi="ar"/>
        </w:rPr>
        <w:t>。逾期不缴纳罚款的，依据《中华人民共和国行政处罚法》第七十二</w:t>
      </w:r>
      <w:r>
        <w:rPr>
          <w:rFonts w:hint="eastAsia" w:ascii="仿宋_GB2312" w:hAnsi="仿宋_GB2312" w:eastAsia="仿宋_GB2312" w:cs="仿宋_GB2312"/>
          <w:color w:val="auto"/>
          <w:kern w:val="0"/>
          <w:sz w:val="32"/>
          <w:szCs w:val="32"/>
          <w:u w:val="none"/>
          <w:lang w:val="en-US" w:eastAsia="zh-CN" w:bidi="ar"/>
        </w:rPr>
        <w:t>条的规定，我局将每日按罚款数额的百分之三加处罚款，并依法申请人民法院强制执行。</w:t>
      </w:r>
    </w:p>
    <w:p w14:paraId="45F33E97">
      <w:pPr>
        <w:pStyle w:val="2"/>
        <w:keepNext w:val="0"/>
        <w:keepLines w:val="0"/>
        <w:pageBreakBefore w:val="0"/>
        <w:widowControl w:val="0"/>
        <w:kinsoku/>
        <w:wordWrap/>
        <w:overflowPunct/>
        <w:topLinePunct w:val="0"/>
        <w:bidi w:val="0"/>
        <w:snapToGrid/>
        <w:spacing w:line="240" w:lineRule="auto"/>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当事人如不服本行政处罚决定，可以在接到本行政处罚决定书之日起六十日内向柳州市柳北区人民政府申请行政复议；也可以在六个月内依法向柳州市柳南区人民法院提起行政诉讼。</w:t>
      </w:r>
      <w:r>
        <w:rPr>
          <w:rFonts w:hint="eastAsia" w:ascii="仿宋_GB2312" w:hAnsi="仿宋_GB2312" w:eastAsia="仿宋_GB2312" w:cs="仿宋_GB2312"/>
          <w:bCs/>
          <w:color w:val="auto"/>
          <w:sz w:val="32"/>
          <w:szCs w:val="32"/>
          <w:u w:val="none"/>
          <w:lang w:val="en-US" w:eastAsia="zh-CN"/>
        </w:rPr>
        <w:t>申请行政复议或者提起行政诉讼期间，行政处罚不停止执行。</w:t>
      </w:r>
    </w:p>
    <w:p w14:paraId="0139195C">
      <w:pPr>
        <w:keepNext w:val="0"/>
        <w:keepLines w:val="0"/>
        <w:pageBreakBefore w:val="0"/>
        <w:widowControl w:val="0"/>
        <w:kinsoku/>
        <w:wordWrap/>
        <w:overflowPunct/>
        <w:topLinePunct w:val="0"/>
        <w:autoSpaceDE/>
        <w:autoSpaceDN/>
        <w:bidi w:val="0"/>
        <w:snapToGrid/>
        <w:spacing w:line="240" w:lineRule="auto"/>
        <w:ind w:left="0" w:leftChars="0" w:firstLine="640" w:firstLineChars="200"/>
        <w:jc w:val="right"/>
        <w:textAlignment w:val="auto"/>
        <w:outlineLvl w:val="9"/>
        <w:rPr>
          <w:rFonts w:hint="eastAsia" w:ascii="仿宋_GB2312" w:hAnsi="仿宋_GB2312" w:eastAsia="仿宋_GB2312" w:cs="仿宋_GB2312"/>
          <w:color w:val="auto"/>
          <w:sz w:val="32"/>
          <w:szCs w:val="32"/>
        </w:rPr>
      </w:pPr>
    </w:p>
    <w:p w14:paraId="38105D4D">
      <w:pPr>
        <w:keepNext w:val="0"/>
        <w:keepLines w:val="0"/>
        <w:pageBreakBefore w:val="0"/>
        <w:widowControl w:val="0"/>
        <w:kinsoku/>
        <w:wordWrap/>
        <w:overflowPunct/>
        <w:topLinePunct w:val="0"/>
        <w:autoSpaceDE/>
        <w:autoSpaceDN/>
        <w:bidi w:val="0"/>
        <w:snapToGrid/>
        <w:spacing w:line="240" w:lineRule="auto"/>
        <w:ind w:left="0" w:leftChars="0" w:firstLine="640" w:firstLineChars="200"/>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柳州市柳北区市场监督管理局</w:t>
      </w:r>
    </w:p>
    <w:p w14:paraId="1DDB0E9B">
      <w:pPr>
        <w:keepNext w:val="0"/>
        <w:keepLines w:val="0"/>
        <w:pageBreakBefore w:val="0"/>
        <w:widowControl w:val="0"/>
        <w:kinsoku/>
        <w:wordWrap/>
        <w:overflowPunct/>
        <w:topLinePunct w:val="0"/>
        <w:autoSpaceDE/>
        <w:autoSpaceDN/>
        <w:bidi w:val="0"/>
        <w:snapToGrid/>
        <w:spacing w:line="240" w:lineRule="auto"/>
        <w:ind w:left="0" w:leftChars="0" w:firstLine="640" w:firstLineChars="20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bookmarkStart w:id="1" w:name="_GoBack"/>
      <w:bookmarkEnd w:id="1"/>
      <w:r>
        <w:rPr>
          <w:rFonts w:hint="eastAsia" w:ascii="仿宋_GB2312" w:hAnsi="仿宋_GB2312" w:eastAsia="仿宋_GB2312" w:cs="仿宋_GB2312"/>
          <w:color w:val="auto"/>
          <w:sz w:val="32"/>
          <w:szCs w:val="32"/>
        </w:rPr>
        <w:t>日</w:t>
      </w:r>
    </w:p>
    <w:p w14:paraId="3D54E859">
      <w:pPr>
        <w:pStyle w:val="2"/>
        <w:keepNext w:val="0"/>
        <w:keepLines w:val="0"/>
        <w:pageBreakBefore w:val="0"/>
        <w:widowControl w:val="0"/>
        <w:kinsoku/>
        <w:wordWrap/>
        <w:overflowPunct/>
        <w:topLinePunct w:val="0"/>
        <w:bidi w:val="0"/>
        <w:snapToGrid/>
        <w:spacing w:line="240" w:lineRule="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（市场监督管理部门将依法向社会公示本行政处罚决定信息）</w:t>
      </w:r>
      <w:r>
        <w:rPr>
          <w:rFonts w:hint="eastAsia" w:ascii="仿宋_GB2312" w:hAnsi="仿宋_GB2312" w:eastAsia="仿宋_GB2312" w:cs="仿宋_GB2312"/>
          <w:b w:val="0"/>
          <w:bCs w:val="0"/>
          <w:color w:val="auto"/>
          <w:spacing w:val="0"/>
          <w:sz w:val="32"/>
          <w:szCs w:val="32"/>
        </w:rPr>
        <w:t xml:space="preserve"> </w:t>
      </w:r>
    </w:p>
    <w:p w14:paraId="33C8B7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0"/>
          <w:sz w:val="32"/>
          <w:szCs w:val="32"/>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31115</wp:posOffset>
                </wp:positionV>
                <wp:extent cx="5631180" cy="44450"/>
                <wp:effectExtent l="0" t="4445" r="7620" b="8255"/>
                <wp:wrapNone/>
                <wp:docPr id="1" name="直线 5"/>
                <wp:cNvGraphicFramePr/>
                <a:graphic xmlns:a="http://schemas.openxmlformats.org/drawingml/2006/main">
                  <a:graphicData uri="http://schemas.microsoft.com/office/word/2010/wordprocessingShape">
                    <wps:wsp>
                      <wps:cNvCnPr/>
                      <wps:spPr>
                        <a:xfrm flipV="1">
                          <a:off x="0" y="0"/>
                          <a:ext cx="5631180" cy="44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flip:y;margin-left:1.1pt;margin-top:2.45pt;height:3.5pt;width:443.4pt;z-index:251659264;mso-width-relative:page;mso-height-relative:page;" filled="f" stroked="t" coordsize="21600,21600" o:gfxdata="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L6fVTTAAAABgEAAA8AAAAAAAAAAQAgAAAAIgAAAGRycy9kb3ducmV2LnhtbFBLAQIU&#10;ABQAAAAIAIdO4kDK4yED+AEAAPcDAAAOAAAAAAAAAAEAIAAAACI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0"/>
          <w:sz w:val="32"/>
          <w:szCs w:val="32"/>
          <w:lang w:eastAsia="zh-CN"/>
        </w:rPr>
        <w:t>本文书一式三份，一份送达，一份归档</w:t>
      </w:r>
      <w:r>
        <w:rPr>
          <w:rFonts w:hint="eastAsia" w:ascii="仿宋_GB2312" w:hAnsi="仿宋_GB2312" w:eastAsia="仿宋_GB2312" w:cs="仿宋_GB2312"/>
          <w:color w:val="auto"/>
          <w:spacing w:val="0"/>
          <w:sz w:val="32"/>
          <w:szCs w:val="32"/>
        </w:rPr>
        <w:t>，一份</w:t>
      </w:r>
      <w:r>
        <w:rPr>
          <w:rFonts w:hint="eastAsia" w:ascii="仿宋_GB2312" w:hAnsi="仿宋_GB2312" w:eastAsia="仿宋_GB2312" w:cs="仿宋_GB2312"/>
          <w:color w:val="auto"/>
          <w:spacing w:val="0"/>
          <w:sz w:val="32"/>
          <w:szCs w:val="32"/>
          <w:lang w:eastAsia="zh-CN"/>
        </w:rPr>
        <w:t>办案机构</w:t>
      </w:r>
      <w:r>
        <w:rPr>
          <w:rFonts w:hint="eastAsia" w:ascii="仿宋_GB2312" w:hAnsi="仿宋_GB2312" w:eastAsia="仿宋_GB2312" w:cs="仿宋_GB2312"/>
          <w:color w:val="auto"/>
          <w:spacing w:val="0"/>
          <w:sz w:val="32"/>
          <w:szCs w:val="32"/>
        </w:rPr>
        <w:t>留存</w:t>
      </w:r>
      <w:r>
        <w:rPr>
          <w:rFonts w:hint="eastAsia" w:ascii="仿宋_GB2312" w:hAnsi="仿宋_GB2312" w:eastAsia="仿宋_GB2312" w:cs="仿宋_GB2312"/>
          <w:color w:val="auto"/>
          <w:sz w:val="32"/>
          <w:szCs w:val="32"/>
          <w:lang w:eastAsia="zh-CN"/>
        </w:rPr>
        <w:t>。</w:t>
      </w:r>
    </w:p>
    <w:sectPr>
      <w:headerReference r:id="rId3" w:type="default"/>
      <w:footerReference r:id="rId4" w:type="default"/>
      <w:pgSz w:w="11906" w:h="16838"/>
      <w:pgMar w:top="1417" w:right="1587" w:bottom="1304" w:left="1474" w:header="851" w:footer="8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3ECD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CDA874">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39CDA874">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DDA68">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wZDgxNWUyOTk5YWM2ZTAyZGQ4MGM1MzY4NjhhZGMifQ=="/>
    <w:docVar w:name="KSO_WPS_MARK_KEY" w:val="01425cdb-640a-4bec-a21d-5ffe6c5ea177"/>
  </w:docVars>
  <w:rsids>
    <w:rsidRoot w:val="148273E2"/>
    <w:rsid w:val="000065F5"/>
    <w:rsid w:val="0004512F"/>
    <w:rsid w:val="00083C83"/>
    <w:rsid w:val="000B341C"/>
    <w:rsid w:val="001012C9"/>
    <w:rsid w:val="00142F2C"/>
    <w:rsid w:val="001C0503"/>
    <w:rsid w:val="00211B0C"/>
    <w:rsid w:val="00255EEE"/>
    <w:rsid w:val="002C2FAA"/>
    <w:rsid w:val="00357DAF"/>
    <w:rsid w:val="0036662C"/>
    <w:rsid w:val="00463B38"/>
    <w:rsid w:val="004B6721"/>
    <w:rsid w:val="00574F12"/>
    <w:rsid w:val="005E199B"/>
    <w:rsid w:val="005E309F"/>
    <w:rsid w:val="005F5BA5"/>
    <w:rsid w:val="006A6CB1"/>
    <w:rsid w:val="006C0007"/>
    <w:rsid w:val="006E7533"/>
    <w:rsid w:val="00704B12"/>
    <w:rsid w:val="0072741A"/>
    <w:rsid w:val="0074190D"/>
    <w:rsid w:val="007429A2"/>
    <w:rsid w:val="00771A9E"/>
    <w:rsid w:val="0079623E"/>
    <w:rsid w:val="00817650"/>
    <w:rsid w:val="008739FF"/>
    <w:rsid w:val="008A0974"/>
    <w:rsid w:val="00955ECE"/>
    <w:rsid w:val="009C3AF3"/>
    <w:rsid w:val="00A62EC1"/>
    <w:rsid w:val="00B91F48"/>
    <w:rsid w:val="00BC4BAE"/>
    <w:rsid w:val="00BE07B0"/>
    <w:rsid w:val="00BE5339"/>
    <w:rsid w:val="00D05A34"/>
    <w:rsid w:val="00D82DEA"/>
    <w:rsid w:val="00D866B1"/>
    <w:rsid w:val="00DB475D"/>
    <w:rsid w:val="00DD449C"/>
    <w:rsid w:val="00DD743A"/>
    <w:rsid w:val="00E3129E"/>
    <w:rsid w:val="00EA4461"/>
    <w:rsid w:val="00F26908"/>
    <w:rsid w:val="00FC6549"/>
    <w:rsid w:val="00FD11C5"/>
    <w:rsid w:val="00FE2746"/>
    <w:rsid w:val="0160564A"/>
    <w:rsid w:val="02F43599"/>
    <w:rsid w:val="0328798D"/>
    <w:rsid w:val="03E864D4"/>
    <w:rsid w:val="04392B35"/>
    <w:rsid w:val="062A0A13"/>
    <w:rsid w:val="06F651DB"/>
    <w:rsid w:val="07C97654"/>
    <w:rsid w:val="0CB213C1"/>
    <w:rsid w:val="0CB74E19"/>
    <w:rsid w:val="0D6177ED"/>
    <w:rsid w:val="0DA71FDE"/>
    <w:rsid w:val="0DBF10BD"/>
    <w:rsid w:val="0E5E4486"/>
    <w:rsid w:val="0E812106"/>
    <w:rsid w:val="0FE679A4"/>
    <w:rsid w:val="10D056F8"/>
    <w:rsid w:val="117B63A4"/>
    <w:rsid w:val="11BD5D75"/>
    <w:rsid w:val="12F81E10"/>
    <w:rsid w:val="134617C9"/>
    <w:rsid w:val="13873FC3"/>
    <w:rsid w:val="14277F1E"/>
    <w:rsid w:val="148273E2"/>
    <w:rsid w:val="15AA17EA"/>
    <w:rsid w:val="17E1120B"/>
    <w:rsid w:val="1AA55913"/>
    <w:rsid w:val="1AAB7A25"/>
    <w:rsid w:val="1B8A02C6"/>
    <w:rsid w:val="1DD06427"/>
    <w:rsid w:val="1EB96323"/>
    <w:rsid w:val="1F3603BC"/>
    <w:rsid w:val="1F3E2D68"/>
    <w:rsid w:val="1FA32589"/>
    <w:rsid w:val="20125CE0"/>
    <w:rsid w:val="20154E0E"/>
    <w:rsid w:val="209122D7"/>
    <w:rsid w:val="23383DAC"/>
    <w:rsid w:val="23694674"/>
    <w:rsid w:val="23E34743"/>
    <w:rsid w:val="24E55852"/>
    <w:rsid w:val="2550073B"/>
    <w:rsid w:val="255D34FA"/>
    <w:rsid w:val="25912C02"/>
    <w:rsid w:val="26603C6E"/>
    <w:rsid w:val="269A3CE3"/>
    <w:rsid w:val="26B87CE7"/>
    <w:rsid w:val="276B40B8"/>
    <w:rsid w:val="27D00EE0"/>
    <w:rsid w:val="28A416B5"/>
    <w:rsid w:val="2941559E"/>
    <w:rsid w:val="297B6BA3"/>
    <w:rsid w:val="299E6AAB"/>
    <w:rsid w:val="2B157B4F"/>
    <w:rsid w:val="2B424F07"/>
    <w:rsid w:val="2BA22524"/>
    <w:rsid w:val="2C13787F"/>
    <w:rsid w:val="2C421DD7"/>
    <w:rsid w:val="2C7F6960"/>
    <w:rsid w:val="2CF1764D"/>
    <w:rsid w:val="2D002F4F"/>
    <w:rsid w:val="2D4B3F9E"/>
    <w:rsid w:val="2D6F3D99"/>
    <w:rsid w:val="2FD72C1A"/>
    <w:rsid w:val="300735C1"/>
    <w:rsid w:val="30BD5513"/>
    <w:rsid w:val="30E338A2"/>
    <w:rsid w:val="324508A4"/>
    <w:rsid w:val="340E7ECA"/>
    <w:rsid w:val="34686B39"/>
    <w:rsid w:val="35FC3C1B"/>
    <w:rsid w:val="36DD297E"/>
    <w:rsid w:val="3744689A"/>
    <w:rsid w:val="37EF7C5B"/>
    <w:rsid w:val="390D0746"/>
    <w:rsid w:val="39794D00"/>
    <w:rsid w:val="3A9D7FEF"/>
    <w:rsid w:val="3AD91D1C"/>
    <w:rsid w:val="3C297ADF"/>
    <w:rsid w:val="3D4B10C9"/>
    <w:rsid w:val="3DAC6A92"/>
    <w:rsid w:val="3DE843F8"/>
    <w:rsid w:val="3E376AA4"/>
    <w:rsid w:val="3EBB37DF"/>
    <w:rsid w:val="40C924BF"/>
    <w:rsid w:val="40F03B15"/>
    <w:rsid w:val="41711ECE"/>
    <w:rsid w:val="4257288A"/>
    <w:rsid w:val="44C07632"/>
    <w:rsid w:val="44E22253"/>
    <w:rsid w:val="461F1F60"/>
    <w:rsid w:val="471706EB"/>
    <w:rsid w:val="47EC3EAF"/>
    <w:rsid w:val="492530E6"/>
    <w:rsid w:val="4A207916"/>
    <w:rsid w:val="4A4D113D"/>
    <w:rsid w:val="4C3A656F"/>
    <w:rsid w:val="4C3E6663"/>
    <w:rsid w:val="4C512E2D"/>
    <w:rsid w:val="4DA93FB0"/>
    <w:rsid w:val="4DD0481A"/>
    <w:rsid w:val="4DD5222C"/>
    <w:rsid w:val="4EB80EAB"/>
    <w:rsid w:val="4EEA22A0"/>
    <w:rsid w:val="4EFD1DB2"/>
    <w:rsid w:val="4F3E18EA"/>
    <w:rsid w:val="4F7324E1"/>
    <w:rsid w:val="4FD74F00"/>
    <w:rsid w:val="503468E2"/>
    <w:rsid w:val="51A716B6"/>
    <w:rsid w:val="534A00DD"/>
    <w:rsid w:val="53E923EE"/>
    <w:rsid w:val="5473232C"/>
    <w:rsid w:val="549E3B5B"/>
    <w:rsid w:val="55171F21"/>
    <w:rsid w:val="55763B22"/>
    <w:rsid w:val="55BA5430"/>
    <w:rsid w:val="57712819"/>
    <w:rsid w:val="582740A9"/>
    <w:rsid w:val="597A3332"/>
    <w:rsid w:val="59EC712D"/>
    <w:rsid w:val="59F20A8D"/>
    <w:rsid w:val="5AFF3EF1"/>
    <w:rsid w:val="5BB57B1B"/>
    <w:rsid w:val="5CBD218A"/>
    <w:rsid w:val="5CC36333"/>
    <w:rsid w:val="5F8F32D6"/>
    <w:rsid w:val="5F9F2A6C"/>
    <w:rsid w:val="60EF57D1"/>
    <w:rsid w:val="60FF3AC4"/>
    <w:rsid w:val="61544F71"/>
    <w:rsid w:val="61915275"/>
    <w:rsid w:val="62242778"/>
    <w:rsid w:val="63E72995"/>
    <w:rsid w:val="64076927"/>
    <w:rsid w:val="64875F7C"/>
    <w:rsid w:val="64F865C7"/>
    <w:rsid w:val="655B0B8D"/>
    <w:rsid w:val="65704DE2"/>
    <w:rsid w:val="657D4ABD"/>
    <w:rsid w:val="67261A9A"/>
    <w:rsid w:val="685D209C"/>
    <w:rsid w:val="688A1A9D"/>
    <w:rsid w:val="691D477F"/>
    <w:rsid w:val="6A014483"/>
    <w:rsid w:val="6A3A7FB1"/>
    <w:rsid w:val="6A953FED"/>
    <w:rsid w:val="6C746648"/>
    <w:rsid w:val="6EEE43BE"/>
    <w:rsid w:val="6F4C4624"/>
    <w:rsid w:val="6F7B3B73"/>
    <w:rsid w:val="7135211F"/>
    <w:rsid w:val="71365A01"/>
    <w:rsid w:val="71A06C04"/>
    <w:rsid w:val="71A856D8"/>
    <w:rsid w:val="72175D9C"/>
    <w:rsid w:val="72A509A5"/>
    <w:rsid w:val="72D355FA"/>
    <w:rsid w:val="73DE1526"/>
    <w:rsid w:val="74BE07C3"/>
    <w:rsid w:val="74CD4654"/>
    <w:rsid w:val="75206492"/>
    <w:rsid w:val="753007A1"/>
    <w:rsid w:val="76B22134"/>
    <w:rsid w:val="76D27175"/>
    <w:rsid w:val="76F5178A"/>
    <w:rsid w:val="780B0124"/>
    <w:rsid w:val="785D036F"/>
    <w:rsid w:val="787616BF"/>
    <w:rsid w:val="790C18B2"/>
    <w:rsid w:val="79965BD7"/>
    <w:rsid w:val="7A801A3E"/>
    <w:rsid w:val="7AB81C3A"/>
    <w:rsid w:val="7B3A48B6"/>
    <w:rsid w:val="7C8232CF"/>
    <w:rsid w:val="7D7841B4"/>
    <w:rsid w:val="7E635C01"/>
    <w:rsid w:val="7E73129E"/>
    <w:rsid w:val="7F975CEC"/>
    <w:rsid w:val="7FFD0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link w:val="29"/>
    <w:qFormat/>
    <w:uiPriority w:val="0"/>
    <w:pPr>
      <w:tabs>
        <w:tab w:val="center" w:pos="4153"/>
        <w:tab w:val="right" w:pos="8306"/>
      </w:tabs>
      <w:snapToGrid w:val="0"/>
      <w:jc w:val="left"/>
    </w:pPr>
    <w:rPr>
      <w:sz w:val="18"/>
      <w:szCs w:val="18"/>
    </w:rPr>
  </w:style>
  <w:style w:type="paragraph" w:styleId="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style>
  <w:style w:type="character" w:styleId="9">
    <w:name w:val="FollowedHyperlink"/>
    <w:basedOn w:val="7"/>
    <w:qFormat/>
    <w:uiPriority w:val="0"/>
    <w:rPr>
      <w:color w:val="00000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yperlink"/>
    <w:basedOn w:val="7"/>
    <w:qFormat/>
    <w:uiPriority w:val="0"/>
    <w:rPr>
      <w:color w:val="000000"/>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character" w:customStyle="1" w:styleId="16">
    <w:name w:val="first-child"/>
    <w:basedOn w:val="7"/>
    <w:qFormat/>
    <w:uiPriority w:val="0"/>
  </w:style>
  <w:style w:type="character" w:customStyle="1" w:styleId="17">
    <w:name w:val="layui-layer-tabnow"/>
    <w:basedOn w:val="7"/>
    <w:qFormat/>
    <w:uiPriority w:val="0"/>
    <w:rPr>
      <w:bdr w:val="single" w:color="CCCCCC" w:sz="6" w:space="0"/>
      <w:shd w:val="clear" w:color="auto" w:fill="FFFFFF"/>
    </w:rPr>
  </w:style>
  <w:style w:type="character" w:customStyle="1" w:styleId="18">
    <w:name w:val="x-tab-strip-text"/>
    <w:basedOn w:val="7"/>
    <w:qFormat/>
    <w:uiPriority w:val="0"/>
    <w:rPr>
      <w:color w:val="111111"/>
    </w:rPr>
  </w:style>
  <w:style w:type="character" w:customStyle="1" w:styleId="19">
    <w:name w:val="x-tab-strip-text1"/>
    <w:basedOn w:val="7"/>
    <w:qFormat/>
    <w:uiPriority w:val="0"/>
  </w:style>
  <w:style w:type="character" w:customStyle="1" w:styleId="20">
    <w:name w:val="x-tab-strip-text2"/>
    <w:basedOn w:val="7"/>
    <w:qFormat/>
    <w:uiPriority w:val="0"/>
    <w:rPr>
      <w:rFonts w:hint="eastAsia" w:ascii="宋体" w:hAnsi="宋体" w:eastAsia="宋体" w:cs="宋体"/>
      <w:color w:val="333333"/>
      <w:sz w:val="21"/>
      <w:szCs w:val="21"/>
    </w:rPr>
  </w:style>
  <w:style w:type="character" w:customStyle="1" w:styleId="21">
    <w:name w:val="x-tab-strip-text3"/>
    <w:basedOn w:val="7"/>
    <w:qFormat/>
    <w:uiPriority w:val="0"/>
  </w:style>
  <w:style w:type="character" w:customStyle="1" w:styleId="22">
    <w:name w:val="x-tab-strip-text4"/>
    <w:basedOn w:val="7"/>
    <w:qFormat/>
    <w:uiPriority w:val="0"/>
    <w:rPr>
      <w:b/>
      <w:color w:val="15428B"/>
    </w:rPr>
  </w:style>
  <w:style w:type="character" w:customStyle="1" w:styleId="23">
    <w:name w:val="x-tab-strip-text5"/>
    <w:basedOn w:val="7"/>
    <w:qFormat/>
    <w:uiPriority w:val="0"/>
  </w:style>
  <w:style w:type="character" w:customStyle="1" w:styleId="24">
    <w:name w:val="active1"/>
    <w:basedOn w:val="7"/>
    <w:qFormat/>
    <w:uiPriority w:val="0"/>
    <w:rPr>
      <w:color w:val="00FF00"/>
      <w:shd w:val="clear" w:color="auto" w:fill="000000"/>
    </w:rPr>
  </w:style>
  <w:style w:type="character" w:customStyle="1" w:styleId="25">
    <w:name w:val="hilite6"/>
    <w:basedOn w:val="7"/>
    <w:qFormat/>
    <w:uiPriority w:val="0"/>
    <w:rPr>
      <w:color w:val="FFFFFF"/>
      <w:shd w:val="clear" w:color="auto" w:fill="886666"/>
    </w:rPr>
  </w:style>
  <w:style w:type="character" w:customStyle="1" w:styleId="26">
    <w:name w:val="active7"/>
    <w:basedOn w:val="7"/>
    <w:qFormat/>
    <w:uiPriority w:val="0"/>
    <w:rPr>
      <w:color w:val="00FF00"/>
      <w:shd w:val="clear" w:color="auto" w:fill="000000"/>
    </w:rPr>
  </w:style>
  <w:style w:type="character" w:customStyle="1" w:styleId="27">
    <w:name w:val="hilite5"/>
    <w:basedOn w:val="7"/>
    <w:qFormat/>
    <w:uiPriority w:val="0"/>
    <w:rPr>
      <w:color w:val="FFFFFF"/>
      <w:shd w:val="clear" w:color="auto" w:fill="886666"/>
    </w:rPr>
  </w:style>
  <w:style w:type="character" w:customStyle="1" w:styleId="28">
    <w:name w:val="页眉 Char"/>
    <w:basedOn w:val="7"/>
    <w:link w:val="4"/>
    <w:qFormat/>
    <w:uiPriority w:val="0"/>
    <w:rPr>
      <w:rFonts w:asciiTheme="minorHAnsi" w:hAnsiTheme="minorHAnsi" w:eastAsiaTheme="minorEastAsia" w:cstheme="minorBidi"/>
      <w:kern w:val="2"/>
      <w:sz w:val="18"/>
      <w:szCs w:val="18"/>
    </w:rPr>
  </w:style>
  <w:style w:type="character" w:customStyle="1" w:styleId="2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1454</Words>
  <Characters>1545</Characters>
  <Lines>11</Lines>
  <Paragraphs>3</Paragraphs>
  <TotalTime>11</TotalTime>
  <ScaleCrop>false</ScaleCrop>
  <LinksUpToDate>false</LinksUpToDate>
  <CharactersWithSpaces>1593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2019-06-18T07:59:00Z</dcterms:created>
  <dc:creator>Judy~</dc:creator>
  <cp:lastModifiedBy>河谷镇</cp:lastModifiedBy>
  <cp:lastPrinted>2020-09-15T09:45:00Z</cp:lastPrinted>
  <dcterms:modified xsi:type="dcterms:W3CDTF">2025-12-03T01:09:17Z</dcterms:modified>
  <dc:title>柳州市柳北区市场监督管理局</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D3927EABE7274751AC58128A800C89B7_13</vt:lpwstr>
  </property>
  <property fmtid="{D5CDD505-2E9C-101B-9397-08002B2CF9AE}" pid="4" name="KSOTemplateDocerSaveRecord">
    <vt:lpwstr>eyJoZGlkIjoiNjljYzBiNmJkNjNmYjA3MDkwNzQ4ZTM5NDc1MTY5NDgiLCJ1c2VySWQiOiI0OTg3NTAzNTcifQ==</vt:lpwstr>
  </property>
</Properties>
</file>