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F79B9">
      <w:pPr>
        <w:keepLines w:val="0"/>
        <w:pageBreakBefore w:val="0"/>
        <w:kinsoku/>
        <w:wordWrap/>
        <w:overflowPunct/>
        <w:topLinePunct w:val="0"/>
        <w:bidi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柳州市柳北区市场监督管理局</w:t>
      </w:r>
    </w:p>
    <w:p w14:paraId="720BA246">
      <w:pPr>
        <w:keepLines w:val="0"/>
        <w:pageBreakBefore w:val="0"/>
        <w:kinsoku/>
        <w:wordWrap/>
        <w:overflowPunct/>
        <w:topLinePunct w:val="0"/>
        <w:bidi w:val="0"/>
        <w:spacing w:afterLines="50"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行政处罚决定书</w:t>
      </w:r>
    </w:p>
    <w:p w14:paraId="3B6C285A">
      <w:pPr>
        <w:keepLines w:val="0"/>
        <w:pageBreakBefore w:val="0"/>
        <w:widowControl/>
        <w:kinsoku/>
        <w:wordWrap/>
        <w:overflowPunct/>
        <w:topLinePunct w:val="0"/>
        <w:bidi w:val="0"/>
        <w:snapToGrid w:val="0"/>
        <w:spacing w:line="520" w:lineRule="exact"/>
        <w:ind w:right="55"/>
        <w:jc w:val="center"/>
        <w:textAlignment w:val="auto"/>
        <w:outlineLvl w:val="1"/>
        <w:rPr>
          <w:rFonts w:hint="eastAsia" w:ascii="Times New Roman" w:hAnsi="仿宋_GB2312" w:eastAsia="仿宋_GB2312" w:cs="仿宋_GB2312"/>
          <w:bCs/>
          <w:color w:val="auto"/>
          <w:sz w:val="32"/>
          <w:szCs w:val="32"/>
        </w:rPr>
      </w:pPr>
      <w:bookmarkStart w:id="0" w:name="tAj_wh"/>
      <w:r>
        <w:rPr>
          <w:rFonts w:hint="eastAsia" w:ascii="Times New Roman" w:hAnsi="Times New Roman" w:eastAsia="仿宋_GB2312" w:cs="Mongolian Baiti"/>
          <w:color w:val="auto"/>
          <w:sz w:val="32"/>
        </w:rPr>
        <w:t>柳北市监</w:t>
      </w:r>
      <w:r>
        <w:rPr>
          <w:rFonts w:hint="eastAsia" w:ascii="Times New Roman" w:hAnsi="Times New Roman" w:eastAsia="仿宋_GB2312" w:cs="Mongolian Baiti"/>
          <w:color w:val="auto"/>
          <w:sz w:val="32"/>
          <w:lang w:eastAsia="zh-CN"/>
        </w:rPr>
        <w:t>处</w:t>
      </w:r>
      <w:r>
        <w:rPr>
          <w:rFonts w:hint="eastAsia" w:ascii="Times New Roman" w:hAnsi="Times New Roman" w:eastAsia="仿宋_GB2312" w:cs="Mongolian Baiti"/>
          <w:color w:val="auto"/>
          <w:sz w:val="32"/>
        </w:rPr>
        <w:t>罚〔202</w:t>
      </w:r>
      <w:r>
        <w:rPr>
          <w:rFonts w:hint="eastAsia" w:ascii="Times New Roman" w:hAnsi="Times New Roman" w:eastAsia="仿宋_GB2312" w:cs="Mongolian Baiti"/>
          <w:color w:val="auto"/>
          <w:sz w:val="32"/>
          <w:lang w:val="en-US" w:eastAsia="zh-CN"/>
        </w:rPr>
        <w:t>5</w:t>
      </w:r>
      <w:r>
        <w:rPr>
          <w:rFonts w:hint="eastAsia" w:ascii="Times New Roman" w:hAnsi="Times New Roman" w:eastAsia="仿宋_GB2312" w:cs="Mongolian Baiti"/>
          <w:color w:val="auto"/>
          <w:sz w:val="32"/>
        </w:rPr>
        <w:t>〕</w:t>
      </w:r>
      <w:r>
        <w:rPr>
          <w:rFonts w:hint="eastAsia" w:ascii="Times New Roman" w:hAnsi="Times New Roman" w:eastAsia="仿宋_GB2312" w:cs="Mongolian Baiti"/>
          <w:color w:val="auto"/>
          <w:sz w:val="32"/>
          <w:lang w:val="en-US" w:eastAsia="zh-CN"/>
        </w:rPr>
        <w:t>139</w:t>
      </w:r>
      <w:r>
        <w:rPr>
          <w:rFonts w:hint="eastAsia" w:ascii="Times New Roman" w:hAnsi="Times New Roman" w:eastAsia="仿宋_GB2312" w:cs="Mongolian Baiti"/>
          <w:color w:val="auto"/>
          <w:sz w:val="32"/>
        </w:rPr>
        <w:t>号</w:t>
      </w:r>
      <w:bookmarkEnd w:id="0"/>
    </w:p>
    <w:p w14:paraId="3E293464">
      <w:pPr>
        <w:keepNext w:val="0"/>
        <w:keepLines w:val="0"/>
        <w:pageBreakBefore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p>
    <w:p w14:paraId="1DFAA58F">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bookmarkStart w:id="1" w:name="OLE_LINK4"/>
      <w:r>
        <w:rPr>
          <w:rFonts w:hint="eastAsia" w:ascii="仿宋_GB2312" w:hAnsi="仿宋_GB2312" w:eastAsia="仿宋_GB2312" w:cs="仿宋_GB2312"/>
          <w:color w:val="auto"/>
          <w:sz w:val="32"/>
          <w:szCs w:val="32"/>
          <w:u w:val="none"/>
          <w:lang w:val="en-US" w:eastAsia="zh-CN"/>
        </w:rPr>
        <w:t>当事人：李月英</w:t>
      </w:r>
      <w:r>
        <w:rPr>
          <w:rFonts w:hint="default"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14:paraId="3F091F77">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主体资格证照名称：</w:t>
      </w:r>
      <w:bookmarkStart w:id="2" w:name="CALCULATE—DSR—tAjDsrs_cZtzgzzmc"/>
      <w:r>
        <w:rPr>
          <w:rFonts w:hint="eastAsia" w:ascii="仿宋_GB2312" w:hAnsi="仿宋_GB2312" w:eastAsia="仿宋_GB2312" w:cs="仿宋_GB2312"/>
          <w:color w:val="auto"/>
          <w:sz w:val="32"/>
          <w:szCs w:val="32"/>
          <w:u w:val="none"/>
          <w:lang w:val="en-US" w:eastAsia="zh-CN"/>
        </w:rPr>
        <w:t>营业执照</w:t>
      </w:r>
      <w:bookmarkEnd w:id="2"/>
      <w:r>
        <w:rPr>
          <w:rFonts w:hint="eastAsia" w:ascii="仿宋_GB2312" w:hAnsi="仿宋_GB2312" w:eastAsia="仿宋_GB2312" w:cs="仿宋_GB2312"/>
          <w:color w:val="auto"/>
          <w:sz w:val="32"/>
          <w:szCs w:val="32"/>
          <w:u w:val="none"/>
          <w:lang w:val="en-US" w:eastAsia="zh-CN"/>
        </w:rPr>
        <w:t xml:space="preserve">                                  </w:t>
      </w:r>
    </w:p>
    <w:p w14:paraId="71B74018">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统一社会信用代码：</w:t>
      </w:r>
      <w:r>
        <w:rPr>
          <w:rFonts w:hint="eastAsia" w:ascii="仿宋_GB2312" w:hAnsi="仿宋_GB2312" w:eastAsia="仿宋_GB2312" w:cs="仿宋_GB2312"/>
          <w:bCs/>
          <w:color w:val="auto"/>
          <w:sz w:val="32"/>
          <w:szCs w:val="32"/>
          <w:u w:val="none"/>
          <w:lang w:val="en-US" w:eastAsia="zh-CN"/>
        </w:rPr>
        <w:t>92450205MABXTLB53B</w:t>
      </w:r>
      <w:r>
        <w:rPr>
          <w:rFonts w:hint="eastAsia" w:ascii="仿宋_GB2312" w:hAnsi="仿宋_GB2312" w:eastAsia="仿宋_GB2312" w:cs="仿宋_GB2312"/>
          <w:color w:val="auto"/>
          <w:sz w:val="32"/>
          <w:szCs w:val="32"/>
          <w:u w:val="none"/>
          <w:lang w:val="en-US" w:eastAsia="zh-CN"/>
        </w:rPr>
        <w:t xml:space="preserve">                                </w:t>
      </w:r>
    </w:p>
    <w:p w14:paraId="6716F183">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经营场所：</w:t>
      </w:r>
      <w:r>
        <w:rPr>
          <w:rFonts w:hint="eastAsia" w:ascii="仿宋_GB2312" w:hAnsi="仿宋_GB2312" w:eastAsia="仿宋_GB2312" w:cs="仿宋_GB2312"/>
          <w:bCs/>
          <w:color w:val="auto"/>
          <w:sz w:val="32"/>
          <w:szCs w:val="32"/>
          <w:u w:val="none"/>
          <w:lang w:val="en-US" w:eastAsia="zh-CN"/>
        </w:rPr>
        <w:t>柳州市柳北区胜利路4号之一通建中天城农贸市场2-1内2-L41号摊位</w:t>
      </w:r>
      <w:r>
        <w:rPr>
          <w:rFonts w:hint="eastAsia" w:ascii="仿宋_GB2312" w:hAnsi="仿宋_GB2312" w:eastAsia="仿宋_GB2312" w:cs="仿宋_GB2312"/>
          <w:color w:val="auto"/>
          <w:sz w:val="32"/>
          <w:szCs w:val="32"/>
          <w:u w:val="none"/>
          <w:lang w:val="en-US" w:eastAsia="zh-CN"/>
        </w:rPr>
        <w:t xml:space="preserve">                                                      </w:t>
      </w:r>
    </w:p>
    <w:p w14:paraId="27958B7A">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 xml:space="preserve">                        </w:t>
      </w:r>
    </w:p>
    <w:p w14:paraId="2F735778">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  </w:t>
      </w:r>
    </w:p>
    <w:p w14:paraId="202D84B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u w:val="none"/>
          <w:lang w:val="en-US" w:eastAsia="zh-CN"/>
        </w:rPr>
      </w:pPr>
      <w:bookmarkStart w:id="3" w:name="OLE_LINK8"/>
      <w:r>
        <w:rPr>
          <w:rFonts w:hint="eastAsia" w:ascii="仿宋_GB2312" w:hAnsi="仿宋_GB2312" w:eastAsia="仿宋_GB2312" w:cs="仿宋_GB2312"/>
          <w:color w:val="auto"/>
          <w:spacing w:val="0"/>
          <w:sz w:val="32"/>
          <w:szCs w:val="32"/>
          <w:u w:val="none"/>
          <w:lang w:val="en-US" w:eastAsia="zh-CN"/>
        </w:rPr>
        <w:t>广西民生中检联检测有限公司于2025年7月1日对当事人当天购进并销售的苦瓜抽样3.33kg、白皮马铃薯抽样3.31kg进行送检。2025年7月30日，我局收到广西民生中检联检测有限公司出具的两份《检验报告》（</w:t>
      </w:r>
      <w:r>
        <w:rPr>
          <w:rFonts w:hint="eastAsia" w:ascii="仿宋_GB2312" w:hAnsi="仿宋_GB2312" w:eastAsia="仿宋_GB2312" w:cs="仿宋_GB2312"/>
          <w:bCs/>
          <w:color w:val="auto"/>
          <w:sz w:val="32"/>
          <w:szCs w:val="32"/>
          <w:u w:val="none"/>
          <w:lang w:val="en-US" w:eastAsia="zh-CN"/>
        </w:rPr>
        <w:t>N</w:t>
      </w:r>
      <w:r>
        <w:rPr>
          <w:rFonts w:hint="eastAsia" w:ascii="仿宋_GB2312" w:hAnsi="仿宋_GB2312" w:eastAsia="仿宋_GB2312" w:cs="仿宋_GB2312"/>
          <w:bCs/>
          <w:color w:val="auto"/>
          <w:sz w:val="32"/>
          <w:szCs w:val="32"/>
          <w:u w:val="single"/>
          <w:lang w:val="en-US" w:eastAsia="zh-CN"/>
        </w:rPr>
        <w:t>o</w:t>
      </w:r>
      <w:r>
        <w:rPr>
          <w:rFonts w:hint="eastAsia" w:ascii="仿宋_GB2312" w:hAnsi="仿宋_GB2312" w:eastAsia="仿宋_GB2312" w:cs="仿宋_GB2312"/>
          <w:color w:val="auto"/>
          <w:spacing w:val="0"/>
          <w:sz w:val="32"/>
          <w:szCs w:val="32"/>
          <w:u w:val="none"/>
          <w:lang w:val="en-US" w:eastAsia="zh-CN"/>
        </w:rPr>
        <w:t>:BFSQF070041004C和</w:t>
      </w:r>
      <w:r>
        <w:rPr>
          <w:rFonts w:hint="eastAsia" w:ascii="仿宋_GB2312" w:hAnsi="仿宋_GB2312" w:eastAsia="仿宋_GB2312" w:cs="仿宋_GB2312"/>
          <w:bCs/>
          <w:color w:val="auto"/>
          <w:sz w:val="32"/>
          <w:szCs w:val="32"/>
          <w:u w:val="none"/>
          <w:lang w:val="en-US" w:eastAsia="zh-CN"/>
        </w:rPr>
        <w:t>N</w:t>
      </w:r>
      <w:r>
        <w:rPr>
          <w:rFonts w:hint="eastAsia" w:ascii="仿宋_GB2312" w:hAnsi="仿宋_GB2312" w:eastAsia="仿宋_GB2312" w:cs="仿宋_GB2312"/>
          <w:bCs/>
          <w:color w:val="auto"/>
          <w:sz w:val="32"/>
          <w:szCs w:val="32"/>
          <w:u w:val="single"/>
          <w:lang w:val="en-US" w:eastAsia="zh-CN"/>
        </w:rPr>
        <w:t>o</w:t>
      </w:r>
      <w:r>
        <w:rPr>
          <w:rFonts w:hint="eastAsia" w:ascii="仿宋_GB2312" w:hAnsi="仿宋_GB2312" w:eastAsia="仿宋_GB2312" w:cs="仿宋_GB2312"/>
          <w:color w:val="auto"/>
          <w:spacing w:val="0"/>
          <w:sz w:val="32"/>
          <w:szCs w:val="32"/>
          <w:u w:val="none"/>
          <w:lang w:val="en-US" w:eastAsia="zh-CN"/>
        </w:rPr>
        <w:t>:BFSQF070041002C）,检验结论均为不合格。我局执法人员于2025年8月6日向当事人送达上述《检验报告》及《食品安全抽样检验结果通知书》，并对当事人经营场所进行现场检查，经检查当事人上述检验不合格批次的苦瓜、白皮马铃薯已无在售及库存。当事人在法定期限内未提出复检申请。</w:t>
      </w:r>
    </w:p>
    <w:p w14:paraId="3C06E4D9">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我局于2025年7月30日对当事人上述行为进行立案调查。</w:t>
      </w:r>
    </w:p>
    <w:p w14:paraId="031050F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经查实，当事人于2025年7月1日购进苦瓜3.33kg，白皮马铃薯3.31kg，进价均为*元/kg，销售价格6元/kg，购进的苦瓜和白皮马铃薯全部销售给广西民生中检联检测有限公司的抽样人员抽样送检。上述批次苦瓜经广西民生中检联检测有限公司抽样检验，检验结论：经抽样检验，氯氟氰菊酯和高效氯氟氰菊酯项目不符合GB 2763-2021《食品安全国家标准 食品中农药最大残留限量》要求，检验结论为不合格。上述批次白皮马铃薯经广西民生中检联检测有限公司抽样检验，检验结论：经抽样检验，毒死蜱项目不符合GB 2763-2021《食品安全国家标准 食品中农药最大残留限量》要求，检验结论为不合格。上述食品货值金额合计39.84元，营业性收入为39.84元。</w:t>
      </w:r>
    </w:p>
    <w:p w14:paraId="7B7D0EE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trike/>
          <w:dstrike w:val="0"/>
          <w:color w:val="auto"/>
          <w:sz w:val="32"/>
          <w:szCs w:val="32"/>
          <w:u w:val="none"/>
          <w:lang w:val="en-US" w:eastAsia="zh-CN"/>
        </w:rPr>
      </w:pPr>
      <w:r>
        <w:rPr>
          <w:rFonts w:hint="eastAsia" w:ascii="仿宋_GB2312" w:hAnsi="仿宋_GB2312" w:eastAsia="仿宋_GB2312" w:cs="仿宋_GB2312"/>
          <w:color w:val="auto"/>
          <w:sz w:val="32"/>
          <w:szCs w:val="32"/>
          <w:u w:val="none"/>
        </w:rPr>
        <w:t>当事人在采购</w:t>
      </w:r>
      <w:r>
        <w:rPr>
          <w:rFonts w:hint="eastAsia" w:ascii="仿宋_GB2312" w:hAnsi="仿宋_GB2312" w:eastAsia="仿宋_GB2312" w:cs="仿宋_GB2312"/>
          <w:color w:val="auto"/>
          <w:sz w:val="32"/>
          <w:szCs w:val="32"/>
          <w:u w:val="none"/>
          <w:lang w:eastAsia="zh-CN"/>
        </w:rPr>
        <w:t>上述</w:t>
      </w:r>
      <w:r>
        <w:rPr>
          <w:rFonts w:hint="eastAsia" w:ascii="仿宋_GB2312" w:hAnsi="仿宋_GB2312" w:eastAsia="仿宋_GB2312" w:cs="仿宋_GB2312"/>
          <w:color w:val="auto"/>
          <w:sz w:val="32"/>
          <w:szCs w:val="32"/>
          <w:u w:val="none"/>
          <w:lang w:val="en-US" w:eastAsia="zh-CN"/>
        </w:rPr>
        <w:t>苦瓜、白皮马铃薯</w:t>
      </w:r>
      <w:r>
        <w:rPr>
          <w:rFonts w:hint="eastAsia" w:ascii="仿宋_GB2312" w:hAnsi="仿宋_GB2312" w:eastAsia="仿宋_GB2312" w:cs="仿宋_GB2312"/>
          <w:color w:val="auto"/>
          <w:sz w:val="32"/>
          <w:szCs w:val="32"/>
          <w:u w:val="none"/>
          <w:lang w:eastAsia="zh-CN"/>
        </w:rPr>
        <w:t>时未查验</w:t>
      </w:r>
      <w:r>
        <w:rPr>
          <w:rFonts w:hint="eastAsia" w:ascii="仿宋_GB2312" w:hAnsi="仿宋_GB2312" w:eastAsia="仿宋_GB2312" w:cs="仿宋_GB2312"/>
          <w:color w:val="auto"/>
          <w:sz w:val="32"/>
          <w:szCs w:val="32"/>
          <w:u w:val="none"/>
          <w:lang w:val="en-US" w:eastAsia="zh-CN"/>
        </w:rPr>
        <w:t>食品</w:t>
      </w:r>
      <w:r>
        <w:rPr>
          <w:rFonts w:hint="eastAsia" w:ascii="仿宋_GB2312" w:hAnsi="仿宋_GB2312" w:eastAsia="仿宋_GB2312" w:cs="仿宋_GB2312"/>
          <w:color w:val="auto"/>
          <w:sz w:val="32"/>
          <w:szCs w:val="32"/>
          <w:u w:val="none"/>
          <w:lang w:eastAsia="zh-CN"/>
        </w:rPr>
        <w:t>合格证明文件</w:t>
      </w:r>
      <w:r>
        <w:rPr>
          <w:rFonts w:hint="eastAsia" w:ascii="仿宋_GB2312" w:hAnsi="仿宋_GB2312" w:eastAsia="仿宋_GB2312" w:cs="仿宋_GB2312"/>
          <w:color w:val="auto"/>
          <w:sz w:val="32"/>
          <w:szCs w:val="32"/>
          <w:u w:val="none"/>
          <w:lang w:val="en-US" w:eastAsia="zh-CN"/>
        </w:rPr>
        <w:t>,</w:t>
      </w:r>
      <w:bookmarkStart w:id="4" w:name="OLE_LINK3"/>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建立食用农产品进货查验</w:t>
      </w:r>
      <w:bookmarkEnd w:id="4"/>
      <w:r>
        <w:rPr>
          <w:rFonts w:hint="eastAsia" w:ascii="仿宋" w:hAnsi="仿宋" w:eastAsia="仿宋" w:cs="仿宋"/>
          <w:color w:val="auto"/>
          <w:sz w:val="32"/>
          <w:szCs w:val="32"/>
          <w:lang w:eastAsia="zh-CN"/>
        </w:rPr>
        <w:t>记录制度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u w:val="none"/>
          <w:lang w:eastAsia="zh-CN"/>
        </w:rPr>
        <w:t>。</w:t>
      </w:r>
    </w:p>
    <w:p w14:paraId="7915C231">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b w:val="0"/>
          <w:bCs w:val="0"/>
          <w:color w:val="auto"/>
        </w:rPr>
      </w:pPr>
      <w:r>
        <w:rPr>
          <w:rFonts w:hint="eastAsia" w:ascii="仿宋_GB2312" w:hAnsi="仿宋_GB2312" w:eastAsia="仿宋_GB2312" w:cs="仿宋_GB2312"/>
          <w:b w:val="0"/>
          <w:bCs w:val="0"/>
          <w:color w:val="auto"/>
          <w:sz w:val="32"/>
          <w:szCs w:val="32"/>
          <w:u w:val="none"/>
        </w:rPr>
        <w:t>上述事实，主要有以下证据证明：</w:t>
      </w:r>
    </w:p>
    <w:p w14:paraId="7777D90D">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color w:val="auto"/>
          <w:spacing w:val="0"/>
          <w:sz w:val="32"/>
          <w:szCs w:val="32"/>
          <w:u w:val="none"/>
          <w:lang w:val="en-US" w:eastAsia="zh-CN"/>
        </w:rPr>
        <w:t>当事人的《营业执照》及经营者、受委托人身份证的复印件各1份，授权委托书1份，证明本案当事人的主体资质以及经营者、受委托人身份信息；</w:t>
      </w:r>
    </w:p>
    <w:p w14:paraId="76956875">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0"/>
          <w:sz w:val="32"/>
          <w:szCs w:val="32"/>
          <w:u w:val="none"/>
          <w:lang w:val="en-US" w:eastAsia="zh-CN"/>
        </w:rPr>
        <w:t>《现场笔录》1份，《询问笔录》1份，《检验报告》2份，《食品安全抽样检验结果通知书》1份，《证据提取单》5份，证明当事人存在经营氯氟氰菊酯和高效氯氟氰菊酯项目不符合GB 2763-2021《食品安全国家标准 食品中农药最大残留限量》要求的苦瓜，和毒死蜱项目不符合GB 2763-2021《食品安全国家标准 食品中农药最大残留限量》要求的白皮马铃薯且在采购上述苦瓜、白皮马铃薯时未查验食品合格证明文件，</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建立食用农产品进货查验记录制度，</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u w:val="none"/>
          <w:lang w:eastAsia="zh-CN"/>
        </w:rPr>
        <w:t>的事实。</w:t>
      </w:r>
    </w:p>
    <w:p w14:paraId="4071590A">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以上证据均由</w:t>
      </w:r>
      <w:r>
        <w:rPr>
          <w:rFonts w:hint="eastAsia" w:ascii="仿宋_GB2312" w:hAnsi="仿宋_GB2312" w:eastAsia="仿宋_GB2312" w:cs="仿宋_GB2312"/>
          <w:b w:val="0"/>
          <w:bCs/>
          <w:color w:val="auto"/>
          <w:sz w:val="32"/>
          <w:szCs w:val="32"/>
          <w:u w:val="none"/>
          <w:lang w:eastAsia="zh-CN"/>
        </w:rPr>
        <w:t>受委托人</w:t>
      </w:r>
      <w:r>
        <w:rPr>
          <w:rFonts w:hint="eastAsia" w:ascii="仿宋_GB2312" w:hAnsi="仿宋_GB2312" w:eastAsia="仿宋_GB2312" w:cs="仿宋_GB2312"/>
          <w:color w:val="auto"/>
          <w:sz w:val="32"/>
          <w:szCs w:val="32"/>
        </w:rPr>
        <w:t>签名认可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 xml:space="preserve">               </w:t>
      </w:r>
    </w:p>
    <w:p w14:paraId="0D337577">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color w:val="auto"/>
          <w:lang w:val="en-US" w:eastAsia="zh-CN"/>
        </w:rPr>
      </w:pPr>
      <w:r>
        <w:rPr>
          <w:rFonts w:hint="eastAsia" w:ascii="仿宋_GB2312" w:hAnsi="仿宋_GB2312" w:eastAsia="仿宋_GB2312" w:cs="仿宋_GB2312"/>
          <w:b w:val="0"/>
          <w:bCs w:val="0"/>
          <w:color w:val="auto"/>
          <w:sz w:val="32"/>
          <w:szCs w:val="32"/>
          <w:u w:val="none"/>
          <w:lang w:eastAsia="zh-CN"/>
        </w:rPr>
        <w:t>我局于202</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年</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lang w:eastAsia="zh-CN"/>
        </w:rPr>
        <w:t>月</w:t>
      </w:r>
      <w:r>
        <w:rPr>
          <w:rFonts w:hint="eastAsia" w:ascii="仿宋_GB2312" w:hAnsi="仿宋_GB2312" w:eastAsia="仿宋_GB2312" w:cs="仿宋_GB2312"/>
          <w:b w:val="0"/>
          <w:bCs w:val="0"/>
          <w:color w:val="auto"/>
          <w:sz w:val="32"/>
          <w:szCs w:val="32"/>
          <w:u w:val="none"/>
          <w:lang w:val="en-US" w:eastAsia="zh-CN"/>
        </w:rPr>
        <w:t>18</w:t>
      </w:r>
      <w:r>
        <w:rPr>
          <w:rFonts w:hint="eastAsia" w:ascii="仿宋_GB2312" w:hAnsi="仿宋_GB2312" w:eastAsia="仿宋_GB2312" w:cs="仿宋_GB2312"/>
          <w:b w:val="0"/>
          <w:bCs w:val="0"/>
          <w:color w:val="auto"/>
          <w:sz w:val="32"/>
          <w:szCs w:val="32"/>
          <w:u w:val="none"/>
          <w:lang w:eastAsia="zh-CN"/>
        </w:rPr>
        <w:t>日向当事人送达了《行政处罚告知书》（柳北市监罚告〔202</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155</w:t>
      </w:r>
      <w:r>
        <w:rPr>
          <w:rFonts w:hint="eastAsia" w:ascii="仿宋_GB2312" w:hAnsi="仿宋_GB2312" w:eastAsia="仿宋_GB2312" w:cs="仿宋_GB2312"/>
          <w:b w:val="0"/>
          <w:bCs w:val="0"/>
          <w:color w:val="auto"/>
          <w:sz w:val="32"/>
          <w:szCs w:val="32"/>
          <w:u w:val="none"/>
          <w:lang w:eastAsia="zh-CN"/>
        </w:rPr>
        <w:t>号），告知当事人我局拟</w:t>
      </w:r>
      <w:r>
        <w:rPr>
          <w:rFonts w:hint="eastAsia" w:ascii="仿宋_GB2312" w:hAnsi="仿宋_GB2312" w:eastAsia="仿宋_GB2312" w:cs="仿宋_GB2312"/>
          <w:b w:val="0"/>
          <w:bCs w:val="0"/>
          <w:color w:val="auto"/>
          <w:sz w:val="32"/>
          <w:szCs w:val="32"/>
          <w:u w:val="none"/>
          <w:lang w:val="en-US" w:eastAsia="zh-CN"/>
        </w:rPr>
        <w:t>作出</w:t>
      </w:r>
      <w:r>
        <w:rPr>
          <w:rFonts w:hint="eastAsia" w:ascii="仿宋_GB2312" w:hAnsi="仿宋_GB2312" w:eastAsia="仿宋_GB2312" w:cs="仿宋_GB2312"/>
          <w:b w:val="0"/>
          <w:bCs w:val="0"/>
          <w:color w:val="auto"/>
          <w:sz w:val="32"/>
          <w:szCs w:val="32"/>
          <w:u w:val="none"/>
          <w:lang w:eastAsia="zh-CN"/>
        </w:rPr>
        <w:t>行政处罚的事实、理由、依据、处罚内容及享有的权利。当</w:t>
      </w:r>
      <w:r>
        <w:rPr>
          <w:rFonts w:hint="eastAsia" w:ascii="仿宋_GB2312" w:hAnsi="仿宋_GB2312" w:eastAsia="仿宋_GB2312" w:cs="仿宋_GB2312"/>
          <w:color w:val="auto"/>
          <w:sz w:val="32"/>
          <w:szCs w:val="32"/>
          <w:u w:val="none"/>
          <w:lang w:eastAsia="zh-CN"/>
        </w:rPr>
        <w:t xml:space="preserve">事人在法定期限内未提出陈述、申辩。   </w:t>
      </w:r>
      <w:r>
        <w:rPr>
          <w:rFonts w:hint="eastAsia" w:ascii="仿宋_GB2312" w:hAnsi="仿宋_GB2312" w:eastAsia="仿宋_GB2312" w:cs="仿宋_GB2312"/>
          <w:color w:val="auto"/>
          <w:sz w:val="32"/>
          <w:szCs w:val="32"/>
          <w:u w:val="none"/>
        </w:rPr>
        <w:t xml:space="preserve">   </w:t>
      </w:r>
    </w:p>
    <w:p w14:paraId="2D4B73EF">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当事人经营上述苦瓜、白皮马铃薯的行为，违反了《中华人民共和国食品安全法》第三十四条第一款第二项的规定，属于经营农药残留含量超过食品安全标准限量的食品的行为，本案货值金额39.84元，违法所得为39.84元。</w:t>
      </w:r>
    </w:p>
    <w:bookmarkEnd w:id="3"/>
    <w:p w14:paraId="1350D179">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当事人采购上述</w:t>
      </w:r>
      <w:r>
        <w:rPr>
          <w:rFonts w:hint="eastAsia" w:ascii="仿宋_GB2312" w:hAnsi="仿宋_GB2312" w:eastAsia="仿宋_GB2312" w:cs="仿宋_GB2312"/>
          <w:color w:val="auto"/>
          <w:sz w:val="32"/>
          <w:szCs w:val="32"/>
          <w:u w:val="none"/>
          <w:lang w:val="en-US" w:eastAsia="zh-CN"/>
        </w:rPr>
        <w:t>苦瓜、白皮马铃薯</w:t>
      </w:r>
      <w:r>
        <w:rPr>
          <w:rFonts w:hint="eastAsia" w:ascii="仿宋_GB2312" w:hAnsi="仿宋_GB2312" w:eastAsia="仿宋_GB2312" w:cs="仿宋_GB2312"/>
          <w:color w:val="auto"/>
          <w:sz w:val="32"/>
          <w:szCs w:val="32"/>
          <w:u w:val="none"/>
          <w:lang w:eastAsia="zh-CN"/>
        </w:rPr>
        <w:t>时未查验食品合格证明文件的行为，违反了《中华人民共和国食品安全法》第五十三条</w:t>
      </w:r>
      <w:bookmarkStart w:id="5" w:name="tiao_53_kuan_1"/>
      <w:bookmarkEnd w:id="5"/>
      <w:r>
        <w:rPr>
          <w:rFonts w:hint="eastAsia" w:ascii="仿宋_GB2312" w:hAnsi="仿宋_GB2312" w:eastAsia="仿宋_GB2312" w:cs="仿宋_GB2312"/>
          <w:color w:val="auto"/>
          <w:sz w:val="32"/>
          <w:szCs w:val="32"/>
          <w:u w:val="none"/>
          <w:lang w:eastAsia="zh-CN"/>
        </w:rPr>
        <w:t>第一款的规定，属于</w:t>
      </w:r>
      <w:r>
        <w:rPr>
          <w:rFonts w:hint="eastAsia" w:ascii="仿宋_GB2312" w:hAnsi="仿宋_GB2312" w:eastAsia="仿宋_GB2312" w:cs="仿宋_GB2312"/>
          <w:color w:val="auto"/>
          <w:sz w:val="32"/>
          <w:szCs w:val="32"/>
        </w:rPr>
        <w:t>未按规定</w:t>
      </w:r>
      <w:r>
        <w:rPr>
          <w:rFonts w:hint="eastAsia" w:ascii="仿宋_GB2312" w:hAnsi="仿宋_GB2312" w:eastAsia="仿宋_GB2312" w:cs="仿宋_GB2312"/>
          <w:color w:val="auto"/>
          <w:sz w:val="32"/>
          <w:szCs w:val="32"/>
          <w:u w:val="none"/>
          <w:lang w:eastAsia="zh-CN"/>
        </w:rPr>
        <w:t>履行进货查验义务的行为。</w:t>
      </w:r>
    </w:p>
    <w:p w14:paraId="10F1C85B">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当事人采购未建立食用农产品进货查验</w:t>
      </w:r>
      <w:r>
        <w:rPr>
          <w:rFonts w:hint="eastAsia" w:ascii="仿宋_GB2312" w:hAnsi="仿宋_GB2312" w:eastAsia="仿宋_GB2312" w:cs="仿宋_GB2312"/>
          <w:color w:val="auto"/>
          <w:sz w:val="32"/>
          <w:szCs w:val="32"/>
          <w:lang w:eastAsia="zh-CN"/>
        </w:rPr>
        <w:t>记录制度，</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u w:val="none"/>
          <w:lang w:eastAsia="zh-CN"/>
        </w:rPr>
        <w:t>的行为，违反了《中华人民共和国食品安全法》第六十五条的规定，属于未按规定建立食用农产品进货查验记录制度</w:t>
      </w:r>
      <w:r>
        <w:rPr>
          <w:rFonts w:hint="eastAsia" w:ascii="仿宋_GB2312" w:hAnsi="仿宋_GB2312" w:eastAsia="仿宋_GB2312" w:cs="仿宋_GB2312"/>
          <w:color w:val="auto"/>
          <w:sz w:val="32"/>
          <w:szCs w:val="32"/>
          <w:lang w:eastAsia="zh-CN"/>
        </w:rPr>
        <w:t>及</w:t>
      </w:r>
      <w:r>
        <w:rPr>
          <w:rFonts w:hint="default" w:ascii="仿宋_GB2312" w:hAnsi="仿宋_GB2312" w:eastAsia="仿宋_GB2312" w:cs="仿宋_GB2312"/>
          <w:color w:val="auto"/>
          <w:sz w:val="32"/>
          <w:szCs w:val="32"/>
          <w:u w:val="none"/>
          <w:lang w:eastAsia="zh-CN"/>
        </w:rPr>
        <w:t>保存相关凭证</w:t>
      </w:r>
      <w:r>
        <w:rPr>
          <w:rFonts w:hint="eastAsia" w:ascii="仿宋_GB2312" w:hAnsi="仿宋_GB2312" w:eastAsia="仿宋_GB2312" w:cs="仿宋_GB2312"/>
          <w:color w:val="auto"/>
          <w:sz w:val="32"/>
          <w:szCs w:val="32"/>
          <w:u w:val="none"/>
          <w:lang w:eastAsia="zh-CN"/>
        </w:rPr>
        <w:t>的行为。</w:t>
      </w:r>
    </w:p>
    <w:p w14:paraId="358ED4B1">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当事人的经营场所为通建</w:t>
      </w:r>
      <w:r>
        <w:rPr>
          <w:rFonts w:hint="eastAsia" w:eastAsia="仿宋_GB2312"/>
          <w:color w:val="auto"/>
          <w:sz w:val="32"/>
          <w:szCs w:val="32"/>
          <w:lang w:val="en-US" w:eastAsia="zh-CN"/>
        </w:rPr>
        <w:t>中天城农贸市场</w:t>
      </w:r>
      <w:r>
        <w:rPr>
          <w:rFonts w:hint="eastAsia" w:ascii="仿宋_GB2312" w:hAnsi="仿宋_GB2312" w:eastAsia="仿宋_GB2312" w:cs="仿宋_GB2312"/>
          <w:color w:val="auto"/>
          <w:sz w:val="32"/>
          <w:szCs w:val="32"/>
          <w:u w:val="none"/>
          <w:lang w:eastAsia="zh-CN"/>
        </w:rPr>
        <w:t>内的固定摊点，根据《</w:t>
      </w:r>
      <w:bookmarkStart w:id="6" w:name="OLE_LINK9"/>
      <w:r>
        <w:rPr>
          <w:rFonts w:hint="eastAsia" w:ascii="仿宋_GB2312" w:hAnsi="仿宋_GB2312" w:eastAsia="仿宋_GB2312" w:cs="仿宋_GB2312"/>
          <w:color w:val="auto"/>
          <w:sz w:val="32"/>
          <w:szCs w:val="32"/>
          <w:u w:val="none"/>
          <w:lang w:eastAsia="zh-CN"/>
        </w:rPr>
        <w:t>广西壮族自治区食品安全条例</w:t>
      </w:r>
      <w:bookmarkEnd w:id="6"/>
      <w:r>
        <w:rPr>
          <w:rFonts w:hint="eastAsia" w:ascii="仿宋_GB2312" w:hAnsi="仿宋_GB2312" w:eastAsia="仿宋_GB2312" w:cs="仿宋_GB2312"/>
          <w:color w:val="auto"/>
          <w:sz w:val="32"/>
          <w:szCs w:val="32"/>
          <w:u w:val="none"/>
          <w:lang w:eastAsia="zh-CN"/>
        </w:rPr>
        <w:t>》第</w:t>
      </w:r>
      <w:bookmarkStart w:id="7" w:name="OLE_LINK10"/>
      <w:r>
        <w:rPr>
          <w:rFonts w:hint="eastAsia" w:ascii="仿宋_GB2312" w:hAnsi="仿宋_GB2312" w:eastAsia="仿宋_GB2312" w:cs="仿宋_GB2312"/>
          <w:color w:val="auto"/>
          <w:sz w:val="32"/>
          <w:szCs w:val="32"/>
          <w:u w:val="none"/>
          <w:lang w:eastAsia="zh-CN"/>
        </w:rPr>
        <w:t>八十五</w:t>
      </w:r>
      <w:bookmarkEnd w:id="7"/>
      <w:r>
        <w:rPr>
          <w:rFonts w:hint="eastAsia" w:ascii="仿宋_GB2312" w:hAnsi="仿宋_GB2312" w:eastAsia="仿宋_GB2312" w:cs="仿宋_GB2312"/>
          <w:color w:val="auto"/>
          <w:sz w:val="32"/>
          <w:szCs w:val="32"/>
          <w:u w:val="none"/>
          <w:lang w:eastAsia="zh-CN"/>
        </w:rPr>
        <w:t>条第二款的规定，当事人属于食品摊贩，因此当事人的上述行为构成《</w:t>
      </w:r>
      <w:bookmarkStart w:id="8" w:name="OLE_LINK11"/>
      <w:r>
        <w:rPr>
          <w:rFonts w:hint="eastAsia" w:ascii="仿宋_GB2312" w:hAnsi="仿宋_GB2312" w:eastAsia="仿宋_GB2312" w:cs="仿宋_GB2312"/>
          <w:color w:val="auto"/>
          <w:sz w:val="32"/>
          <w:szCs w:val="32"/>
          <w:u w:val="none"/>
          <w:lang w:eastAsia="zh-CN"/>
        </w:rPr>
        <w:t>广西壮族自治区食品小作坊小餐饮和食品摊贩管理条例</w:t>
      </w:r>
      <w:bookmarkEnd w:id="8"/>
      <w:r>
        <w:rPr>
          <w:rFonts w:hint="eastAsia" w:ascii="仿宋_GB2312" w:hAnsi="仿宋_GB2312" w:eastAsia="仿宋_GB2312" w:cs="仿宋_GB2312"/>
          <w:color w:val="auto"/>
          <w:sz w:val="32"/>
          <w:szCs w:val="32"/>
          <w:u w:val="none"/>
          <w:lang w:eastAsia="zh-CN"/>
        </w:rPr>
        <w:t>》第二十八条第一款第五项规定的违法行为。</w:t>
      </w:r>
    </w:p>
    <w:p w14:paraId="440EEBE3">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依据</w:t>
      </w:r>
      <w:r>
        <w:rPr>
          <w:rFonts w:hint="eastAsia" w:ascii="仿宋_GB2312" w:hAnsi="仿宋_GB2312" w:eastAsia="仿宋_GB2312" w:cs="仿宋_GB2312"/>
          <w:color w:val="auto"/>
          <w:sz w:val="32"/>
          <w:szCs w:val="32"/>
          <w:u w:val="none"/>
          <w:lang w:eastAsia="zh-CN"/>
        </w:rPr>
        <w:t>《中华人民共和国食品安全法》第一百二十七条、</w:t>
      </w:r>
      <w:r>
        <w:rPr>
          <w:rFonts w:hint="eastAsia" w:ascii="仿宋_GB2312" w:hAnsi="仿宋_GB2312" w:eastAsia="仿宋_GB2312" w:cs="仿宋_GB2312"/>
          <w:color w:val="auto"/>
          <w:sz w:val="32"/>
          <w:szCs w:val="32"/>
          <w:u w:val="none"/>
        </w:rPr>
        <w:t>《</w:t>
      </w:r>
      <w:bookmarkStart w:id="9" w:name="OLE_LINK12"/>
      <w:r>
        <w:rPr>
          <w:rFonts w:hint="eastAsia" w:ascii="仿宋_GB2312" w:hAnsi="仿宋_GB2312" w:eastAsia="仿宋_GB2312" w:cs="仿宋_GB2312"/>
          <w:color w:val="auto"/>
          <w:sz w:val="32"/>
          <w:szCs w:val="32"/>
          <w:u w:val="none"/>
          <w:lang w:eastAsia="zh-CN"/>
        </w:rPr>
        <w:t>广西壮族自治区食品小作坊小餐饮和食品摊贩管理条例</w:t>
      </w:r>
      <w:bookmarkEnd w:id="9"/>
      <w:r>
        <w:rPr>
          <w:rFonts w:hint="eastAsia" w:ascii="仿宋_GB2312" w:hAnsi="仿宋_GB2312" w:eastAsia="仿宋_GB2312" w:cs="仿宋_GB2312"/>
          <w:color w:val="auto"/>
          <w:sz w:val="32"/>
          <w:szCs w:val="32"/>
          <w:u w:val="none"/>
          <w:lang w:eastAsia="zh-CN"/>
        </w:rPr>
        <w:t>》第四十三条</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z w:val="32"/>
          <w:szCs w:val="32"/>
          <w:u w:val="none"/>
          <w:lang w:eastAsia="zh-CN"/>
        </w:rPr>
        <w:t>《</w:t>
      </w:r>
      <w:bookmarkStart w:id="10" w:name="OLE_LINK13"/>
      <w:r>
        <w:rPr>
          <w:rFonts w:hint="eastAsia" w:ascii="仿宋_GB2312" w:hAnsi="仿宋_GB2312" w:eastAsia="仿宋_GB2312" w:cs="仿宋_GB2312"/>
          <w:color w:val="auto"/>
          <w:sz w:val="32"/>
          <w:szCs w:val="32"/>
          <w:u w:val="none"/>
          <w:lang w:eastAsia="zh-CN"/>
        </w:rPr>
        <w:t>中华人民共和国行政处罚法</w:t>
      </w:r>
      <w:bookmarkEnd w:id="10"/>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第二十八条</w:t>
      </w:r>
      <w:r>
        <w:rPr>
          <w:rFonts w:hint="eastAsia" w:ascii="仿宋_GB2312" w:hAnsi="仿宋_GB2312" w:eastAsia="仿宋_GB2312" w:cs="仿宋_GB2312"/>
          <w:b w:val="0"/>
          <w:bCs w:val="0"/>
          <w:i w:val="0"/>
          <w:iCs w:val="0"/>
          <w:caps w:val="0"/>
          <w:color w:val="auto"/>
          <w:spacing w:val="0"/>
          <w:sz w:val="32"/>
          <w:szCs w:val="32"/>
          <w:shd w:val="clear" w:fill="FFFFFF"/>
          <w:lang w:eastAsia="zh-CN"/>
        </w:rPr>
        <w:t>第二款</w:t>
      </w:r>
      <w:r>
        <w:rPr>
          <w:rFonts w:hint="eastAsia" w:ascii="仿宋_GB2312" w:hAnsi="仿宋_GB2312" w:eastAsia="仿宋_GB2312" w:cs="仿宋_GB2312"/>
          <w:color w:val="auto"/>
          <w:sz w:val="32"/>
          <w:szCs w:val="32"/>
          <w:u w:val="none"/>
        </w:rPr>
        <w:t>的规定，</w:t>
      </w:r>
      <w:r>
        <w:rPr>
          <w:rFonts w:hint="eastAsia" w:ascii="仿宋_GB2312" w:hAnsi="仿宋_GB2312" w:eastAsia="仿宋_GB2312" w:cs="仿宋_GB2312"/>
          <w:color w:val="auto"/>
          <w:sz w:val="32"/>
          <w:szCs w:val="32"/>
          <w:u w:val="none"/>
          <w:lang w:eastAsia="zh-CN"/>
        </w:rPr>
        <w:t>我局决定</w:t>
      </w:r>
      <w:r>
        <w:rPr>
          <w:rFonts w:hint="eastAsia" w:ascii="仿宋_GB2312" w:hAnsi="仿宋_GB2312" w:eastAsia="仿宋_GB2312" w:cs="仿宋_GB2312"/>
          <w:color w:val="auto"/>
          <w:sz w:val="32"/>
          <w:szCs w:val="32"/>
        </w:rPr>
        <w:t>责令</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立即改正上述违法行为，并给予</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rPr>
        <w:t>如下行政处罚：</w:t>
      </w:r>
    </w:p>
    <w:p w14:paraId="06FC8F83">
      <w:pPr>
        <w:spacing w:line="520" w:lineRule="exact"/>
        <w:ind w:firstLine="640" w:firstLineChars="200"/>
        <w:rPr>
          <w:rFonts w:ascii="仿宋_GB2312" w:hAnsi="仿宋_GB2312" w:eastAsia="仿宋_GB2312" w:cs="仿宋_GB2312"/>
          <w:color w:val="auto"/>
          <w:sz w:val="32"/>
          <w:szCs w:val="32"/>
        </w:rPr>
      </w:pPr>
      <w:bookmarkStart w:id="11" w:name="OLE_LINK14"/>
      <w:r>
        <w:rPr>
          <w:rFonts w:hint="eastAsia" w:ascii="仿宋_GB2312" w:hAnsi="仿宋_GB2312" w:eastAsia="仿宋_GB2312" w:cs="仿宋_GB2312"/>
          <w:color w:val="auto"/>
          <w:sz w:val="32"/>
          <w:szCs w:val="32"/>
        </w:rPr>
        <w:t>1.警告；</w:t>
      </w:r>
    </w:p>
    <w:p w14:paraId="7481A0E6">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2.没收违法所得</w:t>
      </w:r>
      <w:r>
        <w:rPr>
          <w:rFonts w:hint="eastAsia" w:ascii="仿宋_GB2312" w:hAnsi="仿宋_GB2312" w:eastAsia="仿宋_GB2312" w:cs="仿宋_GB2312"/>
          <w:color w:val="auto"/>
          <w:sz w:val="32"/>
          <w:szCs w:val="32"/>
          <w:lang w:val="en-US" w:eastAsia="zh-CN"/>
        </w:rPr>
        <w:t>39.84</w:t>
      </w:r>
      <w:r>
        <w:rPr>
          <w:rFonts w:hint="eastAsia" w:ascii="仿宋_GB2312" w:hAnsi="仿宋_GB2312" w:eastAsia="仿宋_GB2312" w:cs="仿宋_GB2312"/>
          <w:color w:val="auto"/>
          <w:sz w:val="32"/>
          <w:szCs w:val="32"/>
        </w:rPr>
        <w:t>元。</w:t>
      </w:r>
      <w:bookmarkEnd w:id="11"/>
    </w:p>
    <w:p w14:paraId="097E619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kern w:val="0"/>
          <w:sz w:val="32"/>
          <w:szCs w:val="32"/>
          <w:u w:val="none"/>
          <w:lang w:val="en-US" w:eastAsia="zh-CN" w:bidi="ar"/>
        </w:rPr>
        <w:t>当事人应当自收到本行政处罚决定书之日起十五日内，</w:t>
      </w:r>
      <w:r>
        <w:rPr>
          <w:rFonts w:hint="eastAsia" w:ascii="仿宋_GB2312" w:hAnsi="仿宋_GB2312" w:eastAsia="仿宋_GB2312" w:cs="仿宋_GB2312"/>
          <w:color w:val="auto"/>
          <w:sz w:val="32"/>
          <w:szCs w:val="32"/>
        </w:rPr>
        <w:t>凭《广西壮族自治区非税收入电子缴款通知书》到中国建设银行缴纳</w:t>
      </w:r>
      <w:r>
        <w:rPr>
          <w:rFonts w:hint="eastAsia" w:ascii="仿宋_GB2312" w:hAnsi="仿宋_GB2312" w:eastAsia="仿宋_GB2312" w:cs="仿宋_GB2312"/>
          <w:color w:val="auto"/>
          <w:sz w:val="32"/>
          <w:szCs w:val="32"/>
          <w:lang w:eastAsia="zh-CN"/>
        </w:rPr>
        <w:t>上述款项</w:t>
      </w:r>
      <w:r>
        <w:rPr>
          <w:rFonts w:hint="eastAsia" w:ascii="仿宋_GB2312" w:hAnsi="仿宋_GB2312" w:eastAsia="仿宋_GB2312" w:cs="仿宋_GB2312"/>
          <w:color w:val="auto"/>
          <w:kern w:val="0"/>
          <w:sz w:val="32"/>
          <w:szCs w:val="32"/>
          <w:u w:val="none"/>
          <w:lang w:val="en-US" w:eastAsia="zh-CN" w:bidi="ar"/>
        </w:rPr>
        <w:t>。逾期不缴纳的，依据《中华人民共和国行政处罚法》第七十二条的规定，我局将依法申请人民法院强制执行。</w:t>
      </w:r>
      <w:r>
        <w:rPr>
          <w:rFonts w:hint="eastAsia" w:ascii="仿宋_GB2312" w:hAnsi="仿宋_GB2312" w:eastAsia="仿宋_GB2312" w:cs="仿宋_GB2312"/>
          <w:color w:val="auto"/>
          <w:sz w:val="32"/>
          <w:szCs w:val="32"/>
          <w:u w:val="none"/>
          <w:lang w:eastAsia="zh-CN"/>
        </w:rPr>
        <w:t xml:space="preserve">                       </w:t>
      </w:r>
    </w:p>
    <w:p w14:paraId="2FA737EC">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当事人如不服本行政处罚决定，可以在接到本行政处罚决定书之日起六十日内向柳州市柳北区人民政府申请行政复议；也可以在六个月内依法向柳州市柳南区人民法院提起行政诉讼。</w:t>
      </w:r>
      <w:r>
        <w:rPr>
          <w:rFonts w:hint="eastAsia" w:ascii="仿宋_GB2312" w:hAnsi="仿宋_GB2312" w:eastAsia="仿宋_GB2312" w:cs="仿宋_GB2312"/>
          <w:color w:val="auto"/>
          <w:sz w:val="32"/>
          <w:szCs w:val="32"/>
          <w:u w:val="none"/>
          <w:lang w:val="en-US" w:eastAsia="zh-CN"/>
        </w:rPr>
        <w:t>申请行政复议或者提起行政诉讼期间，行政处罚不停止执行。</w:t>
      </w:r>
    </w:p>
    <w:p w14:paraId="7344BDCF">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14:paraId="515AA6DC">
      <w:pPr>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color w:val="auto"/>
          <w:sz w:val="32"/>
          <w:szCs w:val="32"/>
          <w:u w:val="none"/>
          <w:lang w:eastAsia="zh-CN"/>
        </w:rPr>
      </w:pPr>
    </w:p>
    <w:p w14:paraId="617F65D5">
      <w:pPr>
        <w:keepNext w:val="0"/>
        <w:keepLines w:val="0"/>
        <w:pageBreakBefore w:val="0"/>
        <w:widowControl w:val="0"/>
        <w:kinsoku/>
        <w:wordWrap/>
        <w:overflowPunct/>
        <w:topLinePunct w:val="0"/>
        <w:autoSpaceDE/>
        <w:autoSpaceDN/>
        <w:bidi w:val="0"/>
        <w:snapToGrid/>
        <w:spacing w:line="520" w:lineRule="exact"/>
        <w:ind w:firstLine="4800" w:firstLineChars="15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柳州市柳北区市场监督管理局</w:t>
      </w:r>
    </w:p>
    <w:p w14:paraId="5D0CA0EB">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 xml:space="preserve"> 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30</w:t>
      </w:r>
      <w:bookmarkStart w:id="12" w:name="_GoBack"/>
      <w:bookmarkEnd w:id="12"/>
      <w:r>
        <w:rPr>
          <w:rFonts w:hint="eastAsia" w:ascii="仿宋_GB2312" w:hAnsi="仿宋_GB2312" w:eastAsia="仿宋_GB2312" w:cs="仿宋_GB2312"/>
          <w:color w:val="auto"/>
          <w:sz w:val="32"/>
          <w:szCs w:val="32"/>
          <w:u w:val="none"/>
          <w:lang w:eastAsia="zh-CN"/>
        </w:rPr>
        <w:t>日</w:t>
      </w:r>
    </w:p>
    <w:p w14:paraId="193B313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auto"/>
          <w:kern w:val="2"/>
          <w:sz w:val="32"/>
          <w:szCs w:val="32"/>
          <w:lang w:val="en-US" w:eastAsia="zh-CN" w:bidi="ar-SA"/>
        </w:rPr>
      </w:pPr>
    </w:p>
    <w:p w14:paraId="5BD1C4EF">
      <w:pPr>
        <w:pStyle w:val="2"/>
        <w:rPr>
          <w:rFonts w:hint="eastAsia" w:ascii="黑体" w:hAnsi="黑体" w:eastAsia="黑体" w:cs="黑体"/>
          <w:b w:val="0"/>
          <w:bCs w:val="0"/>
          <w:color w:val="auto"/>
          <w:kern w:val="2"/>
          <w:sz w:val="32"/>
          <w:szCs w:val="32"/>
          <w:lang w:val="en-US" w:eastAsia="zh-CN" w:bidi="ar-SA"/>
        </w:rPr>
      </w:pPr>
    </w:p>
    <w:p w14:paraId="051482B0">
      <w:pPr>
        <w:pStyle w:val="2"/>
        <w:rPr>
          <w:rFonts w:hint="eastAsia" w:ascii="黑体" w:hAnsi="黑体" w:eastAsia="黑体" w:cs="黑体"/>
          <w:b w:val="0"/>
          <w:bCs w:val="0"/>
          <w:color w:val="auto"/>
          <w:kern w:val="2"/>
          <w:sz w:val="32"/>
          <w:szCs w:val="32"/>
          <w:lang w:val="en-US" w:eastAsia="zh-CN" w:bidi="ar-SA"/>
        </w:rPr>
      </w:pPr>
    </w:p>
    <w:p w14:paraId="23445DD8">
      <w:pPr>
        <w:pStyle w:val="2"/>
        <w:rPr>
          <w:rFonts w:hint="eastAsia" w:ascii="黑体" w:hAnsi="黑体" w:eastAsia="黑体" w:cs="黑体"/>
          <w:b w:val="0"/>
          <w:bCs w:val="0"/>
          <w:color w:val="auto"/>
          <w:kern w:val="2"/>
          <w:sz w:val="32"/>
          <w:szCs w:val="32"/>
          <w:lang w:val="en-US" w:eastAsia="zh-CN" w:bidi="ar-SA"/>
        </w:rPr>
      </w:pPr>
    </w:p>
    <w:p w14:paraId="0D74D885">
      <w:pPr>
        <w:pStyle w:val="2"/>
        <w:rPr>
          <w:rFonts w:hint="eastAsia" w:ascii="黑体" w:hAnsi="黑体" w:eastAsia="黑体" w:cs="黑体"/>
          <w:b w:val="0"/>
          <w:bCs w:val="0"/>
          <w:color w:val="auto"/>
          <w:kern w:val="2"/>
          <w:sz w:val="32"/>
          <w:szCs w:val="32"/>
          <w:lang w:val="en-US" w:eastAsia="zh-CN" w:bidi="ar-SA"/>
        </w:rPr>
      </w:pPr>
    </w:p>
    <w:p w14:paraId="46101DA1">
      <w:pPr>
        <w:pStyle w:val="2"/>
        <w:rPr>
          <w:rFonts w:hint="eastAsia" w:ascii="黑体" w:hAnsi="黑体" w:eastAsia="黑体" w:cs="黑体"/>
          <w:b w:val="0"/>
          <w:bCs w:val="0"/>
          <w:color w:val="auto"/>
          <w:kern w:val="2"/>
          <w:sz w:val="32"/>
          <w:szCs w:val="32"/>
          <w:lang w:val="en-US" w:eastAsia="zh-CN" w:bidi="ar-SA"/>
        </w:rPr>
      </w:pPr>
    </w:p>
    <w:p w14:paraId="19E9A746">
      <w:pPr>
        <w:pStyle w:val="2"/>
        <w:rPr>
          <w:rFonts w:hint="eastAsia" w:ascii="黑体" w:hAnsi="黑体" w:eastAsia="黑体" w:cs="黑体"/>
          <w:b w:val="0"/>
          <w:bCs w:val="0"/>
          <w:color w:val="auto"/>
          <w:kern w:val="2"/>
          <w:sz w:val="32"/>
          <w:szCs w:val="32"/>
          <w:lang w:val="en-US" w:eastAsia="zh-CN" w:bidi="ar-SA"/>
        </w:rPr>
      </w:pPr>
    </w:p>
    <w:p w14:paraId="6B61FAA3">
      <w:pPr>
        <w:pStyle w:val="2"/>
        <w:rPr>
          <w:rFonts w:hint="eastAsia" w:ascii="黑体" w:hAnsi="黑体" w:eastAsia="黑体" w:cs="黑体"/>
          <w:b w:val="0"/>
          <w:bCs w:val="0"/>
          <w:color w:val="auto"/>
          <w:kern w:val="2"/>
          <w:sz w:val="32"/>
          <w:szCs w:val="32"/>
          <w:lang w:val="en-US" w:eastAsia="zh-CN" w:bidi="ar-SA"/>
        </w:rPr>
      </w:pPr>
    </w:p>
    <w:p w14:paraId="5FC9D816">
      <w:pPr>
        <w:pStyle w:val="2"/>
        <w:rPr>
          <w:rFonts w:hint="eastAsia" w:ascii="黑体" w:hAnsi="黑体" w:eastAsia="黑体" w:cs="黑体"/>
          <w:b w:val="0"/>
          <w:bCs w:val="0"/>
          <w:color w:val="auto"/>
          <w:kern w:val="2"/>
          <w:sz w:val="32"/>
          <w:szCs w:val="32"/>
          <w:lang w:val="en-US" w:eastAsia="zh-CN" w:bidi="ar-SA"/>
        </w:rPr>
      </w:pPr>
    </w:p>
    <w:p w14:paraId="5D93E2CF">
      <w:pPr>
        <w:pStyle w:val="2"/>
        <w:rPr>
          <w:rFonts w:hint="eastAsia" w:ascii="黑体" w:hAnsi="黑体" w:eastAsia="黑体" w:cs="黑体"/>
          <w:b w:val="0"/>
          <w:bCs w:val="0"/>
          <w:color w:val="auto"/>
          <w:kern w:val="2"/>
          <w:sz w:val="32"/>
          <w:szCs w:val="32"/>
          <w:lang w:val="en-US" w:eastAsia="zh-CN" w:bidi="ar-SA"/>
        </w:rPr>
      </w:pPr>
    </w:p>
    <w:p w14:paraId="50BD4CEC">
      <w:pPr>
        <w:pStyle w:val="2"/>
        <w:rPr>
          <w:rFonts w:hint="eastAsia" w:ascii="黑体" w:hAnsi="黑体" w:eastAsia="黑体" w:cs="黑体"/>
          <w:b w:val="0"/>
          <w:bCs w:val="0"/>
          <w:color w:val="auto"/>
          <w:kern w:val="2"/>
          <w:sz w:val="32"/>
          <w:szCs w:val="32"/>
          <w:lang w:val="en-US" w:eastAsia="zh-CN" w:bidi="ar-SA"/>
        </w:rPr>
      </w:pPr>
    </w:p>
    <w:p w14:paraId="3BD90DB0">
      <w:pPr>
        <w:pStyle w:val="2"/>
        <w:rPr>
          <w:rFonts w:hint="eastAsia" w:ascii="黑体" w:hAnsi="黑体" w:eastAsia="黑体" w:cs="黑体"/>
          <w:b w:val="0"/>
          <w:bCs w:val="0"/>
          <w:color w:val="auto"/>
          <w:kern w:val="2"/>
          <w:sz w:val="32"/>
          <w:szCs w:val="32"/>
          <w:lang w:val="en-US" w:eastAsia="zh-CN" w:bidi="ar-SA"/>
        </w:rPr>
      </w:pPr>
    </w:p>
    <w:p w14:paraId="2928CE55">
      <w:pPr>
        <w:pStyle w:val="2"/>
        <w:rPr>
          <w:rFonts w:hint="eastAsia" w:ascii="黑体" w:hAnsi="黑体" w:eastAsia="黑体" w:cs="黑体"/>
          <w:b w:val="0"/>
          <w:bCs w:val="0"/>
          <w:color w:val="auto"/>
          <w:kern w:val="2"/>
          <w:sz w:val="32"/>
          <w:szCs w:val="32"/>
          <w:lang w:val="en-US" w:eastAsia="zh-CN" w:bidi="ar-SA"/>
        </w:rPr>
      </w:pPr>
    </w:p>
    <w:p w14:paraId="210B05A3">
      <w:pPr>
        <w:pStyle w:val="2"/>
        <w:rPr>
          <w:rFonts w:hint="eastAsia" w:ascii="黑体" w:hAnsi="黑体" w:eastAsia="黑体" w:cs="黑体"/>
          <w:b w:val="0"/>
          <w:bCs w:val="0"/>
          <w:color w:val="auto"/>
          <w:kern w:val="2"/>
          <w:sz w:val="32"/>
          <w:szCs w:val="32"/>
          <w:lang w:val="en-US" w:eastAsia="zh-CN" w:bidi="ar-SA"/>
        </w:rPr>
      </w:pPr>
    </w:p>
    <w:p w14:paraId="519767B0">
      <w:pPr>
        <w:pStyle w:val="2"/>
        <w:rPr>
          <w:rFonts w:hint="eastAsia" w:ascii="黑体" w:hAnsi="黑体" w:eastAsia="黑体" w:cs="黑体"/>
          <w:b w:val="0"/>
          <w:bCs w:val="0"/>
          <w:color w:val="auto"/>
          <w:kern w:val="2"/>
          <w:sz w:val="32"/>
          <w:szCs w:val="32"/>
          <w:lang w:val="en-US" w:eastAsia="zh-CN" w:bidi="ar-SA"/>
        </w:rPr>
      </w:pPr>
    </w:p>
    <w:p w14:paraId="4E5A5390">
      <w:pPr>
        <w:pStyle w:val="2"/>
        <w:rPr>
          <w:rFonts w:hint="eastAsia" w:ascii="黑体" w:hAnsi="黑体" w:eastAsia="黑体" w:cs="黑体"/>
          <w:b w:val="0"/>
          <w:bCs w:val="0"/>
          <w:color w:val="auto"/>
          <w:kern w:val="2"/>
          <w:sz w:val="32"/>
          <w:szCs w:val="32"/>
          <w:lang w:val="en-US" w:eastAsia="zh-CN" w:bidi="ar-SA"/>
        </w:rPr>
      </w:pPr>
    </w:p>
    <w:bookmarkEnd w:id="1"/>
    <w:p w14:paraId="66BA36FA">
      <w:pPr>
        <w:keepNext w:val="0"/>
        <w:keepLines w:val="0"/>
        <w:pageBreakBefore w:val="0"/>
        <w:widowControl w:val="0"/>
        <w:kinsoku/>
        <w:wordWrap/>
        <w:overflowPunct/>
        <w:topLinePunct w:val="0"/>
        <w:autoSpaceDE/>
        <w:autoSpaceDN/>
        <w:bidi w:val="0"/>
        <w:adjustRightInd/>
        <w:snapToGrid/>
        <w:spacing w:line="400" w:lineRule="exact"/>
        <w:ind w:right="-105" w:rightChars="-50" w:firstLine="0" w:firstLineChars="0"/>
        <w:jc w:val="both"/>
        <w:textAlignment w:val="auto"/>
        <w:outlineLvl w:val="9"/>
        <w:rPr>
          <w:rFonts w:ascii="仿宋_GB2312" w:hAnsi="仿宋_GB2312" w:eastAsia="仿宋_GB2312" w:cs="仿宋_GB2312"/>
          <w:b/>
          <w:color w:val="auto"/>
          <w:sz w:val="32"/>
          <w:szCs w:val="32"/>
        </w:rPr>
      </w:pPr>
      <w:r>
        <w:rPr>
          <w:rFonts w:hint="eastAsia" w:ascii="黑体" w:hAnsi="黑体" w:eastAsia="黑体" w:cs="黑体"/>
          <w:b w:val="0"/>
          <w:bCs/>
          <w:color w:val="auto"/>
          <w:sz w:val="32"/>
          <w:szCs w:val="32"/>
          <w:u w:val="none"/>
        </w:rPr>
        <w:t>(市场监督管理部门将依法向社会公示本行政处罚决定信息）</w:t>
      </w:r>
    </w:p>
    <w:p w14:paraId="5B4812A6">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-1270</wp:posOffset>
                </wp:positionV>
                <wp:extent cx="5995035" cy="20320"/>
                <wp:effectExtent l="0" t="4445" r="5715" b="13335"/>
                <wp:wrapNone/>
                <wp:docPr id="2" name="直接连接符 2"/>
                <wp:cNvGraphicFramePr/>
                <a:graphic xmlns:a="http://schemas.openxmlformats.org/drawingml/2006/main">
                  <a:graphicData uri="http://schemas.microsoft.com/office/word/2010/wordprocessingShape">
                    <wps:wsp>
                      <wps:cNvCnPr/>
                      <wps:spPr>
                        <a:xfrm flipV="1">
                          <a:off x="0" y="0"/>
                          <a:ext cx="599503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4pt;margin-top:-0.1pt;height:1.6pt;width:472.05pt;z-index:251660288;mso-width-relative:page;mso-height-relative:page;" filled="f" stroked="t" coordsize="21600,21600" o:gfxdata="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kmJe1QAAAAcBAAAPAAAAAAAAAAEAIAAAACIAAABkcnMv&#10;ZG93bnJldi54bWxQSwECFAAUAAAACACHTuJAE02dtgYCAAAABAAADgAAAAAAAAABACAAAAAkAQAA&#10;ZHJzL2Uyb0RvYy54bWxQSwUGAAAAAAYABgBZAQAAn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rPr>
        <w:t>本文书一式三份，一份送达，一份归档，一份办案单位留存。</w:t>
      </w:r>
    </w:p>
    <w:sectPr>
      <w:headerReference r:id="rId3" w:type="default"/>
      <w:footerReference r:id="rId4" w:type="default"/>
      <w:pgSz w:w="11906" w:h="16838"/>
      <w:pgMar w:top="1417" w:right="1249" w:bottom="1417" w:left="12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1947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A4BB1A">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30A4BB1A">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A432">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mI1NmM0NTFmZTU5ZDUyNjZiMTM4MjRlMDJmYTcifQ=="/>
    <w:docVar w:name="KSO_WPS_MARK_KEY" w:val="0a1346c9-76b6-409f-9296-d22859e3d45e"/>
  </w:docVars>
  <w:rsids>
    <w:rsidRoot w:val="009F3D20"/>
    <w:rsid w:val="00452D7A"/>
    <w:rsid w:val="00571EF1"/>
    <w:rsid w:val="005C29E1"/>
    <w:rsid w:val="00615BC7"/>
    <w:rsid w:val="009536D0"/>
    <w:rsid w:val="009F3D20"/>
    <w:rsid w:val="00A846EF"/>
    <w:rsid w:val="00B84D6A"/>
    <w:rsid w:val="00F92F9B"/>
    <w:rsid w:val="01133753"/>
    <w:rsid w:val="01746C6F"/>
    <w:rsid w:val="01F054BC"/>
    <w:rsid w:val="01F70EC8"/>
    <w:rsid w:val="01F82284"/>
    <w:rsid w:val="01FC2F87"/>
    <w:rsid w:val="02076F1C"/>
    <w:rsid w:val="028D45DD"/>
    <w:rsid w:val="02FC3343"/>
    <w:rsid w:val="037D5B64"/>
    <w:rsid w:val="04A44C1C"/>
    <w:rsid w:val="050C66E8"/>
    <w:rsid w:val="05AA3F3C"/>
    <w:rsid w:val="05C74A0B"/>
    <w:rsid w:val="061255AF"/>
    <w:rsid w:val="088D4A58"/>
    <w:rsid w:val="08B700B5"/>
    <w:rsid w:val="09183D69"/>
    <w:rsid w:val="09FC73DF"/>
    <w:rsid w:val="0A3930ED"/>
    <w:rsid w:val="0AEF28D0"/>
    <w:rsid w:val="0B200F4F"/>
    <w:rsid w:val="0B6C5804"/>
    <w:rsid w:val="0BA13F3D"/>
    <w:rsid w:val="0BAD4BBE"/>
    <w:rsid w:val="0D916539"/>
    <w:rsid w:val="0E322633"/>
    <w:rsid w:val="0EEA79A9"/>
    <w:rsid w:val="0F100C45"/>
    <w:rsid w:val="0F2133BE"/>
    <w:rsid w:val="0F610C24"/>
    <w:rsid w:val="10A87B1C"/>
    <w:rsid w:val="113B358D"/>
    <w:rsid w:val="13250ADD"/>
    <w:rsid w:val="14401311"/>
    <w:rsid w:val="16A110D6"/>
    <w:rsid w:val="17154EC8"/>
    <w:rsid w:val="195F080A"/>
    <w:rsid w:val="1B45534E"/>
    <w:rsid w:val="1B6D18C5"/>
    <w:rsid w:val="1BB6133F"/>
    <w:rsid w:val="1C072701"/>
    <w:rsid w:val="1D680EB6"/>
    <w:rsid w:val="1FBA6F24"/>
    <w:rsid w:val="22384D53"/>
    <w:rsid w:val="226D7D7D"/>
    <w:rsid w:val="22C11C23"/>
    <w:rsid w:val="234E5EC7"/>
    <w:rsid w:val="24776664"/>
    <w:rsid w:val="248E73BE"/>
    <w:rsid w:val="24D9609E"/>
    <w:rsid w:val="25D02FFD"/>
    <w:rsid w:val="26093577"/>
    <w:rsid w:val="26304DF2"/>
    <w:rsid w:val="27CE580A"/>
    <w:rsid w:val="2BF23E07"/>
    <w:rsid w:val="2CB0414C"/>
    <w:rsid w:val="2D191A38"/>
    <w:rsid w:val="2D6F0EEB"/>
    <w:rsid w:val="2DDD3AA0"/>
    <w:rsid w:val="2E1E1BDD"/>
    <w:rsid w:val="31CC2356"/>
    <w:rsid w:val="322A73F0"/>
    <w:rsid w:val="33157E5C"/>
    <w:rsid w:val="3338022F"/>
    <w:rsid w:val="342866FA"/>
    <w:rsid w:val="34630033"/>
    <w:rsid w:val="34BA1161"/>
    <w:rsid w:val="35653FF3"/>
    <w:rsid w:val="36971AF6"/>
    <w:rsid w:val="3860038E"/>
    <w:rsid w:val="3A583804"/>
    <w:rsid w:val="3CE619FC"/>
    <w:rsid w:val="3DA7382A"/>
    <w:rsid w:val="3E47743A"/>
    <w:rsid w:val="3EA43358"/>
    <w:rsid w:val="3F3B4CE0"/>
    <w:rsid w:val="3F810EBB"/>
    <w:rsid w:val="3FBB1912"/>
    <w:rsid w:val="401B60BB"/>
    <w:rsid w:val="40835A4C"/>
    <w:rsid w:val="419C3085"/>
    <w:rsid w:val="420B2CFA"/>
    <w:rsid w:val="42461EC8"/>
    <w:rsid w:val="42521512"/>
    <w:rsid w:val="43A6255C"/>
    <w:rsid w:val="43EB4803"/>
    <w:rsid w:val="44767BDF"/>
    <w:rsid w:val="4565724F"/>
    <w:rsid w:val="45EF7E5F"/>
    <w:rsid w:val="461375FF"/>
    <w:rsid w:val="463C09B7"/>
    <w:rsid w:val="47FB3B1C"/>
    <w:rsid w:val="485A5411"/>
    <w:rsid w:val="48883EE8"/>
    <w:rsid w:val="49FA1891"/>
    <w:rsid w:val="4BC26F8A"/>
    <w:rsid w:val="4D2C59B0"/>
    <w:rsid w:val="4D8465BE"/>
    <w:rsid w:val="50284950"/>
    <w:rsid w:val="50BE2D36"/>
    <w:rsid w:val="512D4762"/>
    <w:rsid w:val="51413A5A"/>
    <w:rsid w:val="52770509"/>
    <w:rsid w:val="528A7965"/>
    <w:rsid w:val="5354071A"/>
    <w:rsid w:val="53EA44B8"/>
    <w:rsid w:val="54281DF4"/>
    <w:rsid w:val="56D5346F"/>
    <w:rsid w:val="577B43F7"/>
    <w:rsid w:val="58900FC0"/>
    <w:rsid w:val="59353EEB"/>
    <w:rsid w:val="59BD701B"/>
    <w:rsid w:val="5C8B4E57"/>
    <w:rsid w:val="5F994A93"/>
    <w:rsid w:val="60CA77DA"/>
    <w:rsid w:val="60FD3896"/>
    <w:rsid w:val="62A712E9"/>
    <w:rsid w:val="62C76E2B"/>
    <w:rsid w:val="636C452A"/>
    <w:rsid w:val="64564E9C"/>
    <w:rsid w:val="64DD2A65"/>
    <w:rsid w:val="66D73F68"/>
    <w:rsid w:val="677A2BE4"/>
    <w:rsid w:val="68394457"/>
    <w:rsid w:val="690A2603"/>
    <w:rsid w:val="6D05726A"/>
    <w:rsid w:val="6EA36ACE"/>
    <w:rsid w:val="6F422098"/>
    <w:rsid w:val="6F8F4715"/>
    <w:rsid w:val="7062076F"/>
    <w:rsid w:val="711372C6"/>
    <w:rsid w:val="72F16021"/>
    <w:rsid w:val="73EE4C3F"/>
    <w:rsid w:val="75107A43"/>
    <w:rsid w:val="778060F2"/>
    <w:rsid w:val="79412CA3"/>
    <w:rsid w:val="79B81021"/>
    <w:rsid w:val="79E14934"/>
    <w:rsid w:val="7A327907"/>
    <w:rsid w:val="7A5D10B6"/>
    <w:rsid w:val="7B8E01BE"/>
    <w:rsid w:val="7C68679D"/>
    <w:rsid w:val="7CC976C2"/>
    <w:rsid w:val="7ECE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1871</Words>
  <Characters>2046</Characters>
  <Lines>12</Lines>
  <Paragraphs>3</Paragraphs>
  <TotalTime>181</TotalTime>
  <ScaleCrop>false</ScaleCrop>
  <LinksUpToDate>false</LinksUpToDate>
  <CharactersWithSpaces>2283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2021-08-24T03:17:00Z</dcterms:created>
  <dc:creator>AutoBVT</dc:creator>
  <cp:lastModifiedBy>河谷镇</cp:lastModifiedBy>
  <cp:lastPrinted>2022-04-22T09:11:00Z</cp:lastPrinted>
  <dcterms:modified xsi:type="dcterms:W3CDTF">2025-09-30T03:45:58Z</dcterms:modified>
  <dc:title>柳州市柳北区市场监督管理局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2F64134CAD0041F5A76F18CE4B078F32_13</vt:lpwstr>
  </property>
  <property fmtid="{D5CDD505-2E9C-101B-9397-08002B2CF9AE}" pid="4" name="commondata">
    <vt:lpwstr>eyJoZGlkIjoiNDgyNzkyZjI1NDFlNzk2ZjY4OTViMWUyMTEzNGQ0YTIifQ==</vt:lpwstr>
  </property>
  <property fmtid="{D5CDD505-2E9C-101B-9397-08002B2CF9AE}" pid="5" name="KSOTemplateDocerSaveRecord">
    <vt:lpwstr>eyJoZGlkIjoiNjljYzBiNmJkNjNmYjA3MDkwNzQ4ZTM5NDc1MTY5NDgiLCJ1c2VySWQiOiI0OTg3NTAzNTcifQ==</vt:lpwstr>
  </property>
</Properties>
</file>