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32E47">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eastAsia" w:ascii="方正小标宋简体" w:hAnsi="方正小标宋简体" w:eastAsia="方正小标宋简体" w:cs="方正小标宋简体"/>
          <w:color w:val="auto"/>
          <w:sz w:val="44"/>
          <w:u w:val="none"/>
          <w:lang w:eastAsia="zh-CN"/>
        </w:rPr>
        <w:t>柳州市</w:t>
      </w:r>
      <w:r>
        <w:rPr>
          <w:rFonts w:hint="default" w:ascii="方正小标宋简体" w:hAnsi="方正小标宋简体" w:eastAsia="方正小标宋简体" w:cs="方正小标宋简体"/>
          <w:color w:val="auto"/>
          <w:sz w:val="44"/>
          <w:u w:val="none"/>
        </w:rPr>
        <w:t>柳北区市场监督管理局</w:t>
      </w:r>
      <w:bookmarkEnd w:id="0"/>
    </w:p>
    <w:p w14:paraId="7354D8D5">
      <w:pPr>
        <w:pStyle w:val="3"/>
        <w:keepNext w:val="0"/>
        <w:numPr>
          <w:ilvl w:val="0"/>
          <w:numId w:val="2"/>
        </w:numPr>
        <w:spacing w:before="0" w:after="0" w:line="640" w:lineRule="exact"/>
        <w:jc w:val="center"/>
        <w:rPr>
          <w:rFonts w:hint="eastAsia" w:ascii="方正小标宋_GBK" w:hAnsi="方正小标宋_GBK" w:eastAsia="方正小标宋_GBK" w:cs="方正小标宋_GBK"/>
          <w:color w:val="auto"/>
          <w:sz w:val="44"/>
          <w:szCs w:val="44"/>
        </w:rPr>
      </w:pPr>
      <w:bookmarkStart w:id="1" w:name="_Toc76683344"/>
      <w:r>
        <w:rPr>
          <w:rFonts w:hint="eastAsia" w:ascii="方正小标宋_GBK" w:hAnsi="方正小标宋_GBK" w:eastAsia="方正小标宋_GBK" w:cs="方正小标宋_GBK"/>
          <w:color w:val="auto"/>
          <w:sz w:val="44"/>
          <w:szCs w:val="44"/>
          <w:u w:val="none"/>
          <w:lang w:val="en-US"/>
        </w:rPr>
        <w:t>行政处罚</w:t>
      </w:r>
      <w:r>
        <w:rPr>
          <w:rFonts w:hint="eastAsia" w:ascii="方正小标宋_GBK" w:hAnsi="方正小标宋_GBK" w:eastAsia="方正小标宋_GBK" w:cs="方正小标宋_GBK"/>
          <w:color w:val="auto"/>
          <w:sz w:val="44"/>
          <w:szCs w:val="44"/>
          <w:u w:val="none"/>
          <w:lang w:val="en-US" w:eastAsia="zh-Hans"/>
        </w:rPr>
        <w:t>决定</w:t>
      </w:r>
      <w:r>
        <w:rPr>
          <w:rFonts w:hint="eastAsia" w:ascii="方正小标宋_GBK" w:hAnsi="方正小标宋_GBK" w:eastAsia="方正小标宋_GBK" w:cs="方正小标宋_GBK"/>
          <w:color w:val="auto"/>
          <w:sz w:val="44"/>
          <w:szCs w:val="44"/>
          <w:u w:val="none"/>
          <w:lang w:val="en-US"/>
        </w:rPr>
        <w:t>书</w:t>
      </w:r>
      <w:bookmarkEnd w:id="1"/>
    </w:p>
    <w:p w14:paraId="4399DB05">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Mongolian Baiti"/>
          <w:color w:val="auto"/>
          <w:sz w:val="32"/>
          <w:u w:val="none"/>
        </w:rPr>
        <w:t>柳北市监处罚〔2025〕</w:t>
      </w:r>
      <w:r>
        <w:rPr>
          <w:rFonts w:hint="eastAsia" w:ascii="Times New Roman" w:hAnsi="Times New Roman" w:eastAsia="仿宋_GB2312" w:cs="Mongolian Baiti"/>
          <w:color w:val="auto"/>
          <w:sz w:val="32"/>
          <w:u w:val="none"/>
          <w:lang w:val="en-US" w:eastAsia="zh-CN"/>
        </w:rPr>
        <w:t>107</w:t>
      </w:r>
      <w:r>
        <w:rPr>
          <w:rFonts w:hint="eastAsia" w:ascii="Times New Roman" w:hAnsi="Times New Roman" w:eastAsia="仿宋_GB2312" w:cs="Mongolian Baiti"/>
          <w:color w:val="auto"/>
          <w:sz w:val="32"/>
          <w:u w:val="none"/>
          <w:lang w:eastAsia="zh-CN"/>
        </w:rPr>
        <w:t>号</w:t>
      </w:r>
    </w:p>
    <w:p w14:paraId="7637D097">
      <w:pPr>
        <w:keepNext w:val="0"/>
        <w:keepLines w:val="0"/>
        <w:pageBreakBefore w:val="0"/>
        <w:widowControl w:val="0"/>
        <w:kinsoku/>
        <w:wordWrap/>
        <w:overflowPunct/>
        <w:topLinePunct w:val="0"/>
        <w:autoSpaceDE/>
        <w:autoSpaceDN/>
        <w:bidi w:val="0"/>
        <w:adjustRightInd w:val="0"/>
        <w:snapToGrid/>
        <w:spacing w:line="460" w:lineRule="exact"/>
        <w:ind w:left="0" w:leftChars="0" w:right="233" w:rightChars="111"/>
        <w:jc w:val="both"/>
        <w:textAlignment w:val="baseline"/>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当事人：</w:t>
      </w:r>
      <w:r>
        <w:rPr>
          <w:rFonts w:hint="eastAsia" w:ascii="仿宋_GB2312" w:hAnsi="Times New Roman" w:eastAsia="仿宋_GB2312" w:cs="仿宋_GB2312"/>
          <w:color w:val="auto"/>
          <w:sz w:val="32"/>
          <w:szCs w:val="32"/>
          <w:u w:val="none"/>
          <w:lang w:eastAsia="zh-CN"/>
        </w:rPr>
        <w:t>陈国强</w:t>
      </w:r>
    </w:p>
    <w:p w14:paraId="28B7D1C7">
      <w:pPr>
        <w:keepNext w:val="0"/>
        <w:keepLines w:val="0"/>
        <w:pageBreakBefore w:val="0"/>
        <w:widowControl w:val="0"/>
        <w:kinsoku/>
        <w:wordWrap/>
        <w:overflowPunct/>
        <w:topLinePunct w:val="0"/>
        <w:autoSpaceDE/>
        <w:autoSpaceDN/>
        <w:bidi w:val="0"/>
        <w:adjustRightInd w:val="0"/>
        <w:snapToGrid/>
        <w:spacing w:line="460" w:lineRule="exact"/>
        <w:ind w:left="0" w:leftChars="0" w:right="233" w:rightChars="111"/>
        <w:jc w:val="both"/>
        <w:textAlignment w:val="baseline"/>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eastAsia="zh-CN"/>
        </w:rPr>
        <w:t>主体资格证照名称：</w:t>
      </w:r>
      <w:r>
        <w:rPr>
          <w:rFonts w:hint="eastAsia" w:ascii="仿宋_GB2312" w:hAnsi="仿宋_GB2312" w:eastAsia="仿宋_GB2312" w:cs="仿宋_GB2312"/>
          <w:b w:val="0"/>
          <w:bCs w:val="0"/>
          <w:color w:val="auto"/>
          <w:sz w:val="32"/>
          <w:szCs w:val="32"/>
          <w:u w:val="none"/>
          <w:lang w:val="en-US" w:eastAsia="zh-CN"/>
        </w:rPr>
        <w:t>营业执照</w:t>
      </w:r>
    </w:p>
    <w:p w14:paraId="342C5255">
      <w:pPr>
        <w:keepNext w:val="0"/>
        <w:keepLines w:val="0"/>
        <w:pageBreakBefore w:val="0"/>
        <w:widowControl w:val="0"/>
        <w:kinsoku/>
        <w:wordWrap/>
        <w:overflowPunct/>
        <w:topLinePunct w:val="0"/>
        <w:autoSpaceDE/>
        <w:autoSpaceDN/>
        <w:bidi w:val="0"/>
        <w:adjustRightInd w:val="0"/>
        <w:snapToGrid/>
        <w:spacing w:line="460" w:lineRule="exact"/>
        <w:ind w:left="0" w:leftChars="0" w:right="233" w:rightChars="111"/>
        <w:jc w:val="both"/>
        <w:textAlignment w:val="baseline"/>
        <w:outlineLvl w:val="9"/>
        <w:rPr>
          <w:rFonts w:hint="eastAsia" w:eastAsia="仿宋_GB2312" w:cs="Mongolian Baiti"/>
          <w:color w:val="auto"/>
          <w:sz w:val="32"/>
          <w:lang w:val="en-US" w:eastAsia="zh-CN"/>
        </w:rPr>
      </w:pPr>
      <w:r>
        <w:rPr>
          <w:rFonts w:hint="eastAsia" w:ascii="仿宋_GB2312" w:hAnsi="仿宋_GB2312" w:eastAsia="仿宋_GB2312" w:cs="仿宋_GB2312"/>
          <w:b w:val="0"/>
          <w:bCs w:val="0"/>
          <w:color w:val="auto"/>
          <w:sz w:val="32"/>
          <w:szCs w:val="32"/>
          <w:u w:val="none"/>
          <w:lang w:val="en-US" w:eastAsia="zh-CN"/>
        </w:rPr>
        <w:t>注册号：</w:t>
      </w:r>
      <w:r>
        <w:rPr>
          <w:rFonts w:hint="eastAsia" w:eastAsia="仿宋_GB2312" w:cs="Mongolian Baiti"/>
          <w:color w:val="auto"/>
          <w:sz w:val="32"/>
          <w:lang w:val="en-US" w:eastAsia="zh-CN"/>
        </w:rPr>
        <w:t>450205600179222</w:t>
      </w:r>
    </w:p>
    <w:p w14:paraId="7D052DE7">
      <w:pPr>
        <w:keepNext w:val="0"/>
        <w:keepLines w:val="0"/>
        <w:pageBreakBefore w:val="0"/>
        <w:widowControl w:val="0"/>
        <w:kinsoku/>
        <w:wordWrap/>
        <w:overflowPunct/>
        <w:topLinePunct w:val="0"/>
        <w:autoSpaceDE/>
        <w:autoSpaceDN/>
        <w:bidi w:val="0"/>
        <w:adjustRightInd w:val="0"/>
        <w:snapToGrid/>
        <w:spacing w:line="460" w:lineRule="exact"/>
        <w:ind w:left="0" w:leftChars="0" w:right="233" w:rightChars="111"/>
        <w:jc w:val="both"/>
        <w:textAlignment w:val="baseline"/>
        <w:outlineLvl w:val="9"/>
        <w:rPr>
          <w:rFonts w:hint="eastAsia" w:ascii="仿宋_GB2312" w:hAnsi="Times New Roman" w:eastAsia="仿宋_GB2312" w:cs="仿宋_GB2312"/>
          <w:color w:val="auto"/>
          <w:sz w:val="32"/>
          <w:u w:val="none"/>
          <w:lang w:val="en-US" w:eastAsia="zh-CN"/>
        </w:rPr>
      </w:pPr>
      <w:r>
        <w:rPr>
          <w:rFonts w:hint="eastAsia" w:ascii="仿宋_GB2312" w:hAnsi="仿宋_GB2312" w:eastAsia="仿宋_GB2312" w:cs="仿宋_GB2312"/>
          <w:b w:val="0"/>
          <w:bCs w:val="0"/>
          <w:color w:val="auto"/>
          <w:sz w:val="32"/>
          <w:szCs w:val="32"/>
          <w:u w:val="none"/>
          <w:lang w:val="en-US" w:eastAsia="zh-CN"/>
        </w:rPr>
        <w:t>经营场所：</w:t>
      </w:r>
      <w:r>
        <w:rPr>
          <w:rFonts w:hint="eastAsia" w:eastAsia="仿宋_GB2312" w:cs="Mongolian Baiti"/>
          <w:color w:val="auto"/>
          <w:sz w:val="32"/>
          <w:lang w:eastAsia="zh-CN"/>
        </w:rPr>
        <w:t>柳州市北雀路黄村新街市</w:t>
      </w:r>
      <w:r>
        <w:rPr>
          <w:rFonts w:hint="eastAsia" w:eastAsia="仿宋_GB2312" w:cs="Mongolian Baiti"/>
          <w:color w:val="auto"/>
          <w:sz w:val="32"/>
          <w:lang w:val="en-US" w:eastAsia="zh-CN"/>
        </w:rPr>
        <w:t>1-87号</w:t>
      </w:r>
    </w:p>
    <w:p w14:paraId="25B94DB6">
      <w:pPr>
        <w:keepNext w:val="0"/>
        <w:keepLines w:val="0"/>
        <w:pageBreakBefore w:val="0"/>
        <w:widowControl w:val="0"/>
        <w:kinsoku/>
        <w:wordWrap/>
        <w:overflowPunct/>
        <w:topLinePunct w:val="0"/>
        <w:autoSpaceDE/>
        <w:autoSpaceDN/>
        <w:bidi w:val="0"/>
        <w:adjustRightInd w:val="0"/>
        <w:snapToGrid/>
        <w:spacing w:line="460" w:lineRule="exact"/>
        <w:ind w:left="0" w:leftChars="0" w:right="233" w:rightChars="111"/>
        <w:jc w:val="both"/>
        <w:textAlignment w:val="baseline"/>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经营者：</w:t>
      </w:r>
      <w:r>
        <w:rPr>
          <w:rFonts w:hint="eastAsia" w:ascii="仿宋_GB2312" w:hAnsi="Times New Roman" w:eastAsia="仿宋_GB2312" w:cs="仿宋_GB2312"/>
          <w:color w:val="auto"/>
          <w:sz w:val="32"/>
          <w:szCs w:val="32"/>
          <w:u w:val="none"/>
          <w:lang w:eastAsia="zh-CN"/>
        </w:rPr>
        <w:t>陈国强</w:t>
      </w:r>
    </w:p>
    <w:p w14:paraId="61F65F67">
      <w:pPr>
        <w:keepNext w:val="0"/>
        <w:keepLines w:val="0"/>
        <w:pageBreakBefore w:val="0"/>
        <w:widowControl w:val="0"/>
        <w:kinsoku/>
        <w:wordWrap/>
        <w:overflowPunct/>
        <w:topLinePunct w:val="0"/>
        <w:autoSpaceDE/>
        <w:autoSpaceDN/>
        <w:bidi w:val="0"/>
        <w:adjustRightInd w:val="0"/>
        <w:snapToGrid/>
        <w:spacing w:line="460" w:lineRule="exact"/>
        <w:ind w:left="0" w:leftChars="0" w:right="233" w:rightChars="111"/>
        <w:jc w:val="both"/>
        <w:textAlignment w:val="baseline"/>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eastAsia="zh-CN"/>
        </w:rPr>
        <w:t>身份证</w:t>
      </w:r>
      <w:r>
        <w:rPr>
          <w:rFonts w:hint="eastAsia" w:ascii="仿宋_GB2312" w:hAnsi="仿宋_GB2312" w:eastAsia="仿宋_GB2312" w:cs="仿宋_GB2312"/>
          <w:b w:val="0"/>
          <w:bCs w:val="0"/>
          <w:color w:val="auto"/>
          <w:sz w:val="32"/>
          <w:szCs w:val="32"/>
          <w:u w:val="none"/>
          <w:lang w:val="en-US" w:eastAsia="zh-CN"/>
        </w:rPr>
        <w:t>件</w:t>
      </w:r>
      <w:r>
        <w:rPr>
          <w:rFonts w:hint="eastAsia" w:ascii="仿宋_GB2312" w:hAnsi="仿宋_GB2312" w:eastAsia="仿宋_GB2312" w:cs="仿宋_GB2312"/>
          <w:b w:val="0"/>
          <w:bCs w:val="0"/>
          <w:color w:val="auto"/>
          <w:sz w:val="32"/>
          <w:szCs w:val="32"/>
          <w:u w:val="none"/>
          <w:lang w:eastAsia="zh-CN"/>
        </w:rPr>
        <w:t>号码：</w:t>
      </w:r>
      <w:r>
        <w:rPr>
          <w:rFonts w:hint="eastAsia" w:ascii="仿宋_GB2312" w:hAnsi="Times New Roman" w:eastAsia="仿宋_GB2312" w:cs="仿宋_GB2312"/>
          <w:color w:val="auto"/>
          <w:sz w:val="32"/>
          <w:szCs w:val="32"/>
          <w:u w:val="none"/>
          <w:lang w:val="en-US" w:eastAsia="zh-CN"/>
        </w:rPr>
        <w:t>*</w:t>
      </w:r>
    </w:p>
    <w:p w14:paraId="3030E891">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我局执法人员于2024年7月16日对当事人进行检查，发现当事人在经营活动中用于贸易结算的一台电子计价秤（</w:t>
      </w:r>
      <w:bookmarkStart w:id="2" w:name="OLE_LINK2"/>
      <w:r>
        <w:rPr>
          <w:rFonts w:hint="eastAsia" w:ascii="仿宋_GB2312" w:hAnsi="仿宋" w:eastAsia="仿宋_GB2312" w:cs="仿宋"/>
          <w:color w:val="auto"/>
          <w:sz w:val="32"/>
          <w:szCs w:val="32"/>
          <w:u w:val="none"/>
          <w:lang w:val="en-US" w:eastAsia="zh-CN"/>
        </w:rPr>
        <w:t>称鑫牌，上海称鑫电子衡器有限公司制造</w:t>
      </w:r>
      <w:bookmarkEnd w:id="2"/>
      <w:r>
        <w:rPr>
          <w:rFonts w:hint="eastAsia" w:ascii="仿宋_GB2312" w:hAnsi="Times New Roman" w:eastAsia="仿宋_GB2312" w:cs="仿宋_GB2312"/>
          <w:color w:val="auto"/>
          <w:sz w:val="32"/>
          <w:u w:val="none"/>
          <w:lang w:val="en-US" w:eastAsia="zh-CN"/>
        </w:rPr>
        <w:t>），放置1kg标准砝码称重时，依次按压该电子计价秤上“M1”、“M2”、“M3”、“电压”键时，显示称重数值依次为2.1、2.2、2.3、2.4。当事人涉嫌使用不合格电子计价秤，执法人员现场对该电子计价秤进行抽样送检。我局收到柳州市计量技术测试研究所出具的《检定结果通知书》，检定结论为不合格。2024年10月25日我局向当事人送达了上述《检定结果通知书》和《检定结果告知书》，当事人在法定期限内未提出复检申请。2024年</w:t>
      </w:r>
      <w:r>
        <w:rPr>
          <w:rFonts w:hint="eastAsia" w:ascii="仿宋_GB2312" w:hAnsi="仿宋_GB2312" w:eastAsia="仿宋_GB2312" w:cs="仿宋_GB2312"/>
          <w:color w:val="auto"/>
          <w:sz w:val="32"/>
          <w:lang w:val="en-US" w:eastAsia="zh-CN"/>
        </w:rPr>
        <w:t>8</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27</w:t>
      </w:r>
      <w:r>
        <w:rPr>
          <w:rFonts w:hint="eastAsia" w:ascii="仿宋_GB2312" w:hAnsi="仿宋_GB2312" w:eastAsia="仿宋_GB2312" w:cs="仿宋_GB2312"/>
          <w:color w:val="auto"/>
          <w:sz w:val="32"/>
        </w:rPr>
        <w:t>日</w:t>
      </w:r>
      <w:r>
        <w:rPr>
          <w:rFonts w:hint="eastAsia" w:ascii="仿宋_GB2312" w:hAnsi="Times New Roman" w:eastAsia="仿宋_GB2312" w:cs="仿宋_GB2312"/>
          <w:color w:val="auto"/>
          <w:sz w:val="32"/>
          <w:u w:val="none"/>
          <w:lang w:val="en-US" w:eastAsia="zh-CN"/>
        </w:rPr>
        <w:t>我局对当事人上述行为进行立案调查。</w:t>
      </w:r>
    </w:p>
    <w:p w14:paraId="44E36B39">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default"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经查实，2024年07月16日被我局查获时，当事人在</w:t>
      </w:r>
      <w:r>
        <w:rPr>
          <w:rFonts w:hint="eastAsia" w:eastAsia="仿宋_GB2312" w:cs="Mongolian Baiti"/>
          <w:color w:val="auto"/>
          <w:sz w:val="32"/>
          <w:lang w:eastAsia="zh-CN"/>
        </w:rPr>
        <w:t>柳州市北雀路黄村新街市</w:t>
      </w:r>
      <w:r>
        <w:rPr>
          <w:rFonts w:hint="eastAsia" w:ascii="仿宋_GB2312" w:hAnsi="Times New Roman" w:eastAsia="仿宋_GB2312" w:cs="仿宋_GB2312"/>
          <w:color w:val="auto"/>
          <w:sz w:val="32"/>
          <w:u w:val="none"/>
          <w:lang w:val="en-US" w:eastAsia="zh-CN"/>
        </w:rPr>
        <w:t>1-87</w:t>
      </w:r>
      <w:r>
        <w:rPr>
          <w:rFonts w:hint="eastAsia" w:eastAsia="仿宋_GB2312" w:cs="Mongolian Baiti"/>
          <w:color w:val="auto"/>
          <w:sz w:val="32"/>
          <w:lang w:val="en-US" w:eastAsia="zh-CN"/>
        </w:rPr>
        <w:t>号</w:t>
      </w:r>
      <w:r>
        <w:rPr>
          <w:rFonts w:hint="eastAsia" w:ascii="仿宋_GB2312" w:hAnsi="Times New Roman" w:eastAsia="仿宋_GB2312" w:cs="仿宋_GB2312"/>
          <w:color w:val="auto"/>
          <w:sz w:val="32"/>
          <w:u w:val="none"/>
          <w:lang w:val="en-US" w:eastAsia="zh-CN"/>
        </w:rPr>
        <w:t>从事</w:t>
      </w:r>
      <w:r>
        <w:rPr>
          <w:rFonts w:hint="eastAsia" w:ascii="仿宋_GB2312" w:hAnsi="仿宋" w:eastAsia="仿宋_GB2312" w:cs="仿宋"/>
          <w:color w:val="auto"/>
          <w:spacing w:val="-8"/>
          <w:sz w:val="32"/>
          <w:szCs w:val="32"/>
          <w:u w:val="none"/>
          <w:lang w:val="en-US" w:eastAsia="zh-CN"/>
        </w:rPr>
        <w:t>鸡、鸭零售</w:t>
      </w:r>
      <w:r>
        <w:rPr>
          <w:rFonts w:hint="eastAsia" w:ascii="仿宋_GB2312" w:hAnsi="Times New Roman" w:eastAsia="仿宋_GB2312" w:cs="仿宋_GB2312"/>
          <w:color w:val="auto"/>
          <w:sz w:val="32"/>
          <w:u w:val="none"/>
          <w:lang w:val="en-US" w:eastAsia="zh-CN"/>
        </w:rPr>
        <w:t>活动中用于贸易结算的电子秤（</w:t>
      </w:r>
      <w:r>
        <w:rPr>
          <w:rFonts w:hint="eastAsia" w:ascii="仿宋_GB2312" w:hAnsi="仿宋" w:eastAsia="仿宋_GB2312" w:cs="仿宋"/>
          <w:color w:val="auto"/>
          <w:sz w:val="32"/>
          <w:szCs w:val="32"/>
          <w:u w:val="none"/>
          <w:lang w:val="en-US" w:eastAsia="zh-CN"/>
        </w:rPr>
        <w:t>称鑫牌，上海称鑫电子衡器有限公司制造</w:t>
      </w:r>
      <w:r>
        <w:rPr>
          <w:rFonts w:hint="eastAsia" w:ascii="仿宋_GB2312" w:hAnsi="Times New Roman" w:eastAsia="仿宋_GB2312" w:cs="仿宋_GB2312"/>
          <w:color w:val="auto"/>
          <w:sz w:val="32"/>
          <w:u w:val="none"/>
          <w:lang w:val="en-US" w:eastAsia="zh-CN"/>
        </w:rPr>
        <w:t>），经柳州市计量技术测试研究所检定并出具证书编号为HLH241706的《检定结果通知书》记载：“计量器具名称：电子计价秤，型号/规格：ACS-30，出厂编号：不详（陈国强），制造单位：</w:t>
      </w:r>
      <w:r>
        <w:rPr>
          <w:rFonts w:hint="eastAsia" w:ascii="仿宋_GB2312" w:hAnsi="仿宋" w:eastAsia="仿宋_GB2312" w:cs="仿宋"/>
          <w:color w:val="auto"/>
          <w:sz w:val="32"/>
          <w:szCs w:val="32"/>
          <w:u w:val="none"/>
          <w:lang w:val="en-US" w:eastAsia="zh-CN"/>
        </w:rPr>
        <w:t>上海称鑫电子衡器有限公司</w:t>
      </w:r>
      <w:r>
        <w:rPr>
          <w:rFonts w:hint="eastAsia" w:ascii="仿宋_GB2312" w:hAnsi="Times New Roman" w:eastAsia="仿宋_GB2312" w:cs="仿宋_GB2312"/>
          <w:color w:val="auto"/>
          <w:sz w:val="32"/>
          <w:u w:val="none"/>
          <w:lang w:val="en-US" w:eastAsia="zh-CN"/>
        </w:rPr>
        <w:t>，检定结论：不合格。”其中1、检定项目：计量单位检定结果为不合格，该秤的计量单位为“市斤”，为非法定计量单位；2、检定项目：通用技术要求的检查/计量的安全性检定结果为不符合，该秤未加有铅封，且存在不破坏铅封就能对秤进行与计量性能有关的参数调整的情况；3、检定项目：通用技术要求的检查/计量法制标志和计量器具标识检定结果为不符合，铭牌模糊不清；4、该秤存在欺骗性使用特征。经试验，开机后，按“9”→“去皮”后，进入作弊状态，当载荷大于等于200g，示值大于等于0.4“市斤”时，通过按下不同的按键改变称量示值。因当事人在经营过程中未建立进销台账记录，故营业性收入无法计算。</w:t>
      </w:r>
    </w:p>
    <w:p w14:paraId="1C624249">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上述事实，主要有以下证据证明：</w:t>
      </w:r>
    </w:p>
    <w:p w14:paraId="73633F89">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1.当事人的营业执照复印件1份及经营者陈国强身份证复印件各1份，证明当事人的主体资格及经营者的身份情况。</w:t>
      </w:r>
    </w:p>
    <w:p w14:paraId="1F81BD03">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2.2024年7月16日我局执法人员对当事人进行现场检查制作的现场笔录1份、计量器具抽样登记表（编号：柳北计量抽〔2024〕第3号）1份，证明我局对当事人的检查及抽样情况；</w:t>
      </w:r>
    </w:p>
    <w:p w14:paraId="0C54B61C">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default"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 xml:space="preserve">3.检定委托书（柳北市监检鉴委〔2024〕03071604号）1份、柳州市计量技术测试研究所资质证书复印件1份，证明我局依法委托柳州市计量技术测试研究所对当事人经营活动中用于贸易结算的上述电子计价秤进行检定及柳州市计量技术测试研究所具有检定电子计价秤的资格。 </w:t>
      </w:r>
    </w:p>
    <w:p w14:paraId="58B30C6E">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4.《检定结果告知书》（柳北市监检鉴结〔2024〕03102504号）和《检定结果通知书》（证书编号：HLH241706号）各1份，2024年10月25日制作的《现场笔录》1份，证明涉案的电子计价秤检定结论为不合格。</w:t>
      </w:r>
    </w:p>
    <w:p w14:paraId="6B491298">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5. 《询问笔录》1份，证明当事人存在使用上述检定不合格的电子计价秤的事实。</w:t>
      </w:r>
    </w:p>
    <w:p w14:paraId="437EA945">
      <w:pPr>
        <w:keepNext w:val="0"/>
        <w:keepLines w:val="0"/>
        <w:pageBreakBefore w:val="0"/>
        <w:widowControl w:val="0"/>
        <w:kinsoku/>
        <w:wordWrap/>
        <w:overflowPunct/>
        <w:topLinePunct w:val="0"/>
        <w:bidi w:val="0"/>
        <w:snapToGrid/>
        <w:spacing w:line="460" w:lineRule="exact"/>
        <w:ind w:left="-238" w:right="232" w:firstLine="640" w:firstLineChars="200"/>
        <w:jc w:val="left"/>
        <w:rPr>
          <w:rFonts w:hint="eastAsia" w:ascii="仿宋_GB2312" w:hAnsi="Times New Roman" w:eastAsia="仿宋_GB2312" w:cs="仿宋_GB2312"/>
          <w:color w:val="auto"/>
          <w:sz w:val="32"/>
          <w:u w:val="none"/>
          <w:lang w:val="en-US" w:eastAsia="zh-CN"/>
        </w:rPr>
      </w:pPr>
      <w:r>
        <w:rPr>
          <w:rFonts w:hint="eastAsia" w:ascii="宋体" w:hAnsi="宋体" w:cs="宋体"/>
          <w:color w:val="auto"/>
          <w:sz w:val="32"/>
          <w:szCs w:val="32"/>
          <w:u w:val="none"/>
        </w:rPr>
        <w:t xml:space="preserve"> </w:t>
      </w:r>
      <w:r>
        <w:rPr>
          <w:rFonts w:hint="eastAsia" w:ascii="仿宋_GB2312" w:hAnsi="Times New Roman" w:eastAsia="仿宋_GB2312" w:cs="仿宋_GB2312"/>
          <w:color w:val="auto"/>
          <w:sz w:val="32"/>
          <w:u w:val="none"/>
          <w:lang w:val="en-US" w:eastAsia="zh-CN"/>
        </w:rPr>
        <w:t xml:space="preserve">以上证据均由经营者签名确认。 </w:t>
      </w:r>
    </w:p>
    <w:p w14:paraId="3A1CBC51">
      <w:pPr>
        <w:keepNext w:val="0"/>
        <w:keepLines w:val="0"/>
        <w:pageBreakBefore w:val="0"/>
        <w:widowControl w:val="0"/>
        <w:kinsoku/>
        <w:wordWrap/>
        <w:overflowPunct/>
        <w:topLinePunct w:val="0"/>
        <w:bidi w:val="0"/>
        <w:snapToGrid/>
        <w:spacing w:line="460" w:lineRule="exact"/>
        <w:ind w:left="-238" w:right="232" w:firstLine="640" w:firstLineChars="200"/>
        <w:jc w:val="left"/>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我局于2025年8月6日向当事人送达了《行政处罚告知书》（柳北市监罚告〔2025〕120号），告知当事人我局拟作出行政处罚的事实、理由、依据、处罚内容及享有的权利。当事人在法定期限内未提出陈述、申辩。</w:t>
      </w:r>
    </w:p>
    <w:p w14:paraId="14E19861">
      <w:pPr>
        <w:keepNext w:val="0"/>
        <w:keepLines w:val="0"/>
        <w:pageBreakBefore w:val="0"/>
        <w:widowControl w:val="0"/>
        <w:kinsoku/>
        <w:wordWrap/>
        <w:overflowPunct/>
        <w:topLinePunct w:val="0"/>
        <w:bidi w:val="0"/>
        <w:snapToGrid/>
        <w:spacing w:line="460" w:lineRule="exact"/>
        <w:ind w:left="-238" w:right="232" w:firstLine="640" w:firstLineChars="200"/>
        <w:jc w:val="left"/>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当事人的上述行为，违反了《中华人民共和国计量法实施细则》第二十二条的规定，属于使用不合格的计量器具的行为。</w:t>
      </w:r>
    </w:p>
    <w:p w14:paraId="2F525DB6">
      <w:pPr>
        <w:keepNext w:val="0"/>
        <w:keepLines w:val="0"/>
        <w:pageBreakBefore w:val="0"/>
        <w:widowControl w:val="0"/>
        <w:kinsoku/>
        <w:wordWrap/>
        <w:overflowPunct/>
        <w:topLinePunct w:val="0"/>
        <w:bidi w:val="0"/>
        <w:snapToGrid/>
        <w:spacing w:line="460" w:lineRule="exact"/>
        <w:ind w:left="-238" w:right="232" w:firstLine="640" w:firstLineChars="200"/>
        <w:jc w:val="left"/>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依据《中华人民共和国计量法实施细则》第四十六条、《中华人民共和国行政处罚法》第二十八条第一款的规定，我局决定责令当事人立即改正上述违法行为，并作如下行政处罚：</w:t>
      </w:r>
    </w:p>
    <w:p w14:paraId="675CFE8C">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cs="仿宋"/>
          <w:color w:val="auto"/>
          <w:sz w:val="32"/>
          <w:u w:val="none"/>
          <w:lang w:val="en-US" w:eastAsia="zh-CN"/>
        </w:rPr>
      </w:pPr>
      <w:r>
        <w:rPr>
          <w:rFonts w:hint="eastAsia" w:ascii="仿宋" w:hAnsi="仿宋" w:eastAsia="仿宋" w:cs="仿宋"/>
          <w:color w:val="auto"/>
          <w:sz w:val="32"/>
          <w:u w:val="none"/>
          <w:lang w:val="en-US" w:eastAsia="zh-CN"/>
        </w:rPr>
        <w:t>1.没收上述检定不合格电子计价秤（</w:t>
      </w:r>
      <w:r>
        <w:rPr>
          <w:rFonts w:hint="eastAsia" w:ascii="仿宋_GB2312" w:hAnsi="仿宋" w:eastAsia="仿宋_GB2312" w:cs="仿宋"/>
          <w:color w:val="auto"/>
          <w:sz w:val="32"/>
          <w:szCs w:val="32"/>
          <w:u w:val="none"/>
          <w:lang w:val="en-US" w:eastAsia="zh-CN"/>
        </w:rPr>
        <w:t>称鑫牌，上海称鑫电子衡器有限公司制造</w:t>
      </w:r>
      <w:r>
        <w:rPr>
          <w:rFonts w:hint="eastAsia" w:ascii="仿宋" w:hAnsi="仿宋" w:eastAsia="仿宋" w:cs="仿宋"/>
          <w:color w:val="auto"/>
          <w:sz w:val="32"/>
          <w:u w:val="none"/>
          <w:lang w:val="en-US" w:eastAsia="zh-CN"/>
        </w:rPr>
        <w:t>）1台；</w:t>
      </w:r>
    </w:p>
    <w:p w14:paraId="347C88C3">
      <w:pPr>
        <w:keepNext w:val="0"/>
        <w:keepLines w:val="0"/>
        <w:pageBreakBefore w:val="0"/>
        <w:widowControl w:val="0"/>
        <w:kinsoku/>
        <w:wordWrap/>
        <w:overflowPunct/>
        <w:topLinePunct w:val="0"/>
        <w:bidi w:val="0"/>
        <w:snapToGrid/>
        <w:spacing w:line="460" w:lineRule="exact"/>
        <w:ind w:left="-238" w:right="232" w:firstLine="640" w:firstLineChars="200"/>
        <w:jc w:val="left"/>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2.罚款人民币壹仟圆整（¥1,000.00）。</w:t>
      </w:r>
    </w:p>
    <w:p w14:paraId="770745E6">
      <w:pPr>
        <w:keepNext w:val="0"/>
        <w:keepLines w:val="0"/>
        <w:pageBreakBefore w:val="0"/>
        <w:widowControl w:val="0"/>
        <w:kinsoku/>
        <w:wordWrap/>
        <w:overflowPunct/>
        <w:topLinePunct w:val="0"/>
        <w:bidi w:val="0"/>
        <w:snapToGrid/>
        <w:spacing w:line="460" w:lineRule="exact"/>
        <w:ind w:left="-238" w:right="232" w:firstLine="640" w:firstLineChars="200"/>
        <w:jc w:val="left"/>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当事人应当自收到本行政处罚决定书之日起十五日内，凭《广西壮族自治区非税收入电子缴款通知书》到中国建设银行缴纳罚款。逾期不缴纳罚款的，依据《中华人民共和国行政处罚法》第七十二条的规定，我局将每日按罚款数额的百分之三加处罚款，并依法申请人民法院强制执行。</w:t>
      </w:r>
    </w:p>
    <w:p w14:paraId="535AF4EB">
      <w:pPr>
        <w:keepNext w:val="0"/>
        <w:keepLines w:val="0"/>
        <w:pageBreakBefore w:val="0"/>
        <w:widowControl w:val="0"/>
        <w:kinsoku/>
        <w:wordWrap/>
        <w:overflowPunct/>
        <w:topLinePunct w:val="0"/>
        <w:bidi w:val="0"/>
        <w:snapToGrid/>
        <w:spacing w:line="460" w:lineRule="exact"/>
        <w:ind w:left="-238" w:right="232" w:firstLine="640" w:firstLineChars="200"/>
        <w:jc w:val="left"/>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当事人如不服本行处罚决定，可在接到本行政处罚决定书之日起60日内向柳州市柳北区人民政府申请行政复议；也可以在15日内依法向柳州市柳南区人民法院提起行政诉讼。申请行政复议或者提起行政诉讼期间，行政处罚不停止执行。</w:t>
      </w:r>
    </w:p>
    <w:p w14:paraId="3984427F">
      <w:pPr>
        <w:keepNext w:val="0"/>
        <w:keepLines w:val="0"/>
        <w:pageBreakBefore w:val="0"/>
        <w:widowControl w:val="0"/>
        <w:kinsoku/>
        <w:wordWrap/>
        <w:overflowPunct/>
        <w:topLinePunct w:val="0"/>
        <w:bidi w:val="0"/>
        <w:snapToGrid/>
        <w:spacing w:line="460" w:lineRule="exact"/>
        <w:ind w:left="-238" w:right="232" w:firstLine="640" w:firstLineChars="200"/>
        <w:jc w:val="left"/>
        <w:rPr>
          <w:rFonts w:hint="eastAsia" w:ascii="仿宋_GB2312" w:hAnsi="Times New Roman" w:eastAsia="仿宋_GB2312" w:cs="仿宋_GB2312"/>
          <w:color w:val="auto"/>
          <w:sz w:val="32"/>
          <w:u w:val="none"/>
          <w:lang w:val="en-US" w:eastAsia="zh-CN"/>
        </w:rPr>
      </w:pPr>
    </w:p>
    <w:p w14:paraId="56D3EF3D">
      <w:pPr>
        <w:keepNext w:val="0"/>
        <w:keepLines w:val="0"/>
        <w:pageBreakBefore w:val="0"/>
        <w:widowControl w:val="0"/>
        <w:kinsoku/>
        <w:wordWrap/>
        <w:overflowPunct/>
        <w:topLinePunct w:val="0"/>
        <w:bidi w:val="0"/>
        <w:snapToGrid/>
        <w:spacing w:line="460" w:lineRule="exact"/>
        <w:ind w:right="232"/>
        <w:jc w:val="right"/>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柳州市柳北区市场监督管理局</w:t>
      </w:r>
    </w:p>
    <w:p w14:paraId="58885B36">
      <w:pPr>
        <w:keepNext w:val="0"/>
        <w:keepLines w:val="0"/>
        <w:pageBreakBefore w:val="0"/>
        <w:widowControl w:val="0"/>
        <w:kinsoku/>
        <w:wordWrap/>
        <w:overflowPunct/>
        <w:topLinePunct w:val="0"/>
        <w:bidi w:val="0"/>
        <w:snapToGrid/>
        <w:spacing w:line="460" w:lineRule="exact"/>
        <w:ind w:left="-238" w:right="232" w:firstLine="640" w:firstLineChars="200"/>
        <w:jc w:val="left"/>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 xml:space="preserve">                             2025年8月15</w:t>
      </w:r>
      <w:bookmarkStart w:id="3" w:name="_GoBack"/>
      <w:bookmarkEnd w:id="3"/>
      <w:r>
        <w:rPr>
          <w:rFonts w:hint="eastAsia" w:ascii="仿宋_GB2312" w:hAnsi="Times New Roman" w:eastAsia="仿宋_GB2312" w:cs="仿宋_GB2312"/>
          <w:color w:val="auto"/>
          <w:sz w:val="32"/>
          <w:u w:val="none"/>
          <w:lang w:val="en-US" w:eastAsia="zh-CN"/>
        </w:rPr>
        <w:t>日</w:t>
      </w:r>
    </w:p>
    <w:p w14:paraId="357D9912">
      <w:pPr>
        <w:pStyle w:val="2"/>
        <w:keepNext w:val="0"/>
        <w:keepLines w:val="0"/>
        <w:pageBreakBefore w:val="0"/>
        <w:widowControl w:val="0"/>
        <w:kinsoku/>
        <w:wordWrap/>
        <w:overflowPunct/>
        <w:topLinePunct w:val="0"/>
        <w:bidi w:val="0"/>
        <w:snapToGrid/>
        <w:spacing w:line="460" w:lineRule="exact"/>
        <w:rPr>
          <w:rFonts w:hint="eastAsia" w:ascii="仿宋_GB2312" w:hAnsi="Times New Roman" w:eastAsia="仿宋_GB2312" w:cs="仿宋_GB2312"/>
          <w:color w:val="auto"/>
          <w:sz w:val="32"/>
          <w:u w:val="none"/>
          <w:lang w:val="en-US" w:eastAsia="zh-CN"/>
        </w:rPr>
      </w:pPr>
    </w:p>
    <w:p w14:paraId="4B6D5A3C">
      <w:pPr>
        <w:pStyle w:val="2"/>
        <w:keepNext w:val="0"/>
        <w:keepLines w:val="0"/>
        <w:pageBreakBefore w:val="0"/>
        <w:widowControl w:val="0"/>
        <w:kinsoku/>
        <w:wordWrap/>
        <w:overflowPunct/>
        <w:topLinePunct w:val="0"/>
        <w:bidi w:val="0"/>
        <w:snapToGrid/>
        <w:spacing w:line="460" w:lineRule="exact"/>
        <w:rPr>
          <w:rFonts w:hint="eastAsia" w:ascii="仿宋_GB2312" w:hAnsi="Times New Roman" w:eastAsia="仿宋_GB2312" w:cs="仿宋_GB2312"/>
          <w:color w:val="auto"/>
          <w:sz w:val="32"/>
          <w:u w:val="none"/>
          <w:lang w:val="en-US" w:eastAsia="zh-CN"/>
        </w:rPr>
      </w:pPr>
    </w:p>
    <w:p w14:paraId="1607B56B">
      <w:pPr>
        <w:pStyle w:val="4"/>
        <w:spacing w:before="1"/>
        <w:rPr>
          <w:rFonts w:hint="eastAsia" w:ascii="仿宋" w:hAnsi="仿宋" w:eastAsia="仿宋" w:cs="仿宋"/>
          <w:b w:val="0"/>
          <w:bCs w:val="0"/>
          <w:color w:val="auto"/>
          <w:sz w:val="32"/>
          <w:szCs w:val="32"/>
        </w:rPr>
      </w:pPr>
      <w:r>
        <w:rPr>
          <w:rFonts w:hint="eastAsia" w:ascii="黑体" w:hAnsi="黑体" w:eastAsia="黑体"/>
          <w:color w:val="auto"/>
          <w:spacing w:val="-16"/>
          <w:u w:val="none"/>
        </w:rPr>
        <w:t>（市场监督管理部门将依法向社会公开行政处罚决定信息）</w:t>
      </w:r>
      <w:r>
        <w:rPr>
          <w:rFonts w:hint="eastAsia" w:ascii="仿宋" w:hAnsi="仿宋" w:eastAsia="仿宋" w:cs="仿宋"/>
          <w:b w:val="0"/>
          <w:bCs w:val="0"/>
          <w:color w:val="auto"/>
          <w:sz w:val="32"/>
          <w:szCs w:val="32"/>
          <w:u w:val="none"/>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p>
    <w:p w14:paraId="00A966C5">
      <w:pPr>
        <w:spacing w:line="500" w:lineRule="exact"/>
        <w:rPr>
          <w:rFonts w:hint="eastAsia" w:ascii="仿宋_GB2312" w:hAnsi="Times New Roman" w:eastAsia="仿宋_GB2312" w:cs="仿宋_GB2312"/>
          <w:color w:val="auto"/>
          <w:sz w:val="32"/>
          <w:u w:val="none"/>
          <w:lang w:val="en-US" w:eastAsia="zh-CN"/>
        </w:rPr>
      </w:pPr>
      <w:r>
        <w:rPr>
          <w:rFonts w:hint="eastAsia" w:ascii="仿宋" w:hAnsi="仿宋" w:eastAsia="仿宋" w:cs="仿宋"/>
          <w:b w:val="0"/>
          <w:bCs w:val="0"/>
          <w:color w:val="auto"/>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仿宋" w:hAnsi="仿宋" w:eastAsia="仿宋" w:cs="仿宋"/>
          <w:b w:val="0"/>
          <w:bCs w:val="0"/>
          <w:color w:val="auto"/>
          <w:sz w:val="32"/>
          <w:szCs w:val="32"/>
          <w:u w:val="none"/>
        </w:rPr>
        <w:t>本文书一式</w:t>
      </w:r>
      <w:r>
        <w:rPr>
          <w:rFonts w:hint="eastAsia" w:ascii="仿宋" w:hAnsi="仿宋" w:eastAsia="仿宋" w:cs="仿宋"/>
          <w:b w:val="0"/>
          <w:bCs w:val="0"/>
          <w:color w:val="auto"/>
          <w:sz w:val="32"/>
          <w:szCs w:val="32"/>
          <w:u w:val="none"/>
          <w:lang w:eastAsia="zh-CN"/>
        </w:rPr>
        <w:t>三</w:t>
      </w:r>
      <w:r>
        <w:rPr>
          <w:rFonts w:hint="eastAsia" w:ascii="仿宋" w:hAnsi="仿宋" w:eastAsia="仿宋" w:cs="仿宋"/>
          <w:b w:val="0"/>
          <w:bCs w:val="0"/>
          <w:color w:val="auto"/>
          <w:sz w:val="32"/>
          <w:szCs w:val="32"/>
          <w:u w:val="none"/>
        </w:rPr>
        <w:t>份，</w:t>
      </w:r>
      <w:r>
        <w:rPr>
          <w:rFonts w:hint="eastAsia" w:ascii="仿宋" w:hAnsi="仿宋" w:eastAsia="仿宋" w:cs="仿宋"/>
          <w:b w:val="0"/>
          <w:bCs w:val="0"/>
          <w:color w:val="auto"/>
          <w:sz w:val="32"/>
          <w:szCs w:val="32"/>
          <w:u w:val="none"/>
          <w:lang w:eastAsia="zh-CN"/>
        </w:rPr>
        <w:t>一</w:t>
      </w:r>
      <w:r>
        <w:rPr>
          <w:rFonts w:hint="eastAsia" w:ascii="仿宋" w:hAnsi="仿宋" w:eastAsia="仿宋" w:cs="仿宋"/>
          <w:b w:val="0"/>
          <w:bCs w:val="0"/>
          <w:color w:val="auto"/>
          <w:sz w:val="32"/>
          <w:szCs w:val="32"/>
          <w:u w:val="none"/>
        </w:rPr>
        <w:t>份送达，一份归档，</w:t>
      </w:r>
      <w:r>
        <w:rPr>
          <w:rFonts w:hint="eastAsia" w:ascii="仿宋" w:hAnsi="仿宋" w:eastAsia="仿宋" w:cs="仿宋"/>
          <w:b w:val="0"/>
          <w:bCs w:val="0"/>
          <w:color w:val="auto"/>
          <w:sz w:val="32"/>
          <w:szCs w:val="32"/>
          <w:u w:val="none"/>
          <w:lang w:eastAsia="zh-CN"/>
        </w:rPr>
        <w:t>一份办案单位留存</w:t>
      </w:r>
      <w:r>
        <w:rPr>
          <w:rFonts w:hint="eastAsia" w:ascii="仿宋" w:hAnsi="仿宋" w:eastAsia="仿宋" w:cs="仿宋"/>
          <w:b w:val="0"/>
          <w:bCs w:val="0"/>
          <w:color w:val="auto"/>
          <w:sz w:val="32"/>
          <w:szCs w:val="32"/>
          <w:u w:val="none"/>
        </w:rPr>
        <w:t>。</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F06B5">
    <w:pPr>
      <w:pStyle w:val="5"/>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CBCD76">
                          <w:pPr>
                            <w:pStyle w:val="5"/>
                          </w:pPr>
                          <w:r>
                            <w:rPr>
                              <w:rFonts w:hint="eastAsia"/>
                            </w:rPr>
                            <w:t>第</w:t>
                          </w:r>
                          <w:r>
                            <w:t xml:space="preserve"> </w:t>
                          </w:r>
                          <w:r>
                            <w:fldChar w:fldCharType="begin"/>
                          </w:r>
                          <w:r>
                            <w:instrText xml:space="preserve"> PAGE  \* MERGEFORMAT </w:instrText>
                          </w:r>
                          <w:r>
                            <w:fldChar w:fldCharType="separate"/>
                          </w:r>
                          <w:r>
                            <w:t>2</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2</w:t>
                          </w:r>
                          <w:r>
                            <w:fldChar w:fldCharType="end"/>
                          </w:r>
                          <w: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6CBCD76">
                    <w:pPr>
                      <w:pStyle w:val="5"/>
                    </w:pPr>
                    <w:r>
                      <w:rPr>
                        <w:rFonts w:hint="eastAsia"/>
                      </w:rPr>
                      <w:t>第</w:t>
                    </w:r>
                    <w:r>
                      <w:t xml:space="preserve"> </w:t>
                    </w:r>
                    <w:r>
                      <w:fldChar w:fldCharType="begin"/>
                    </w:r>
                    <w:r>
                      <w:instrText xml:space="preserve"> PAGE  \* MERGEFORMAT </w:instrText>
                    </w:r>
                    <w:r>
                      <w:fldChar w:fldCharType="separate"/>
                    </w:r>
                    <w:r>
                      <w:t>2</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2</w:t>
                    </w:r>
                    <w:r>
                      <w:fldChar w:fldCharType="end"/>
                    </w:r>
                    <w:r>
                      <w:t xml:space="preserve"> </w:t>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3628E">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3139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8115E">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BDB1">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3E67B">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OTE5NmM1MThmYTU3YmE4MzY0YWFiZmRjY2NmNmEifQ=="/>
    <w:docVar w:name="KSO_WPS_MARK_KEY" w:val="d63457a1-17d7-4901-817f-abfb910d1f6a"/>
  </w:docVars>
  <w:rsids>
    <w:rsidRoot w:val="7FD0664E"/>
    <w:rsid w:val="04E75340"/>
    <w:rsid w:val="0C9200DC"/>
    <w:rsid w:val="0CD45A1D"/>
    <w:rsid w:val="164A13D0"/>
    <w:rsid w:val="17770A66"/>
    <w:rsid w:val="1CB52423"/>
    <w:rsid w:val="1EDC25A0"/>
    <w:rsid w:val="21E92BAA"/>
    <w:rsid w:val="280E020B"/>
    <w:rsid w:val="2DA02A6A"/>
    <w:rsid w:val="309C25F5"/>
    <w:rsid w:val="33704CF3"/>
    <w:rsid w:val="36D53E98"/>
    <w:rsid w:val="39B52764"/>
    <w:rsid w:val="3B164853"/>
    <w:rsid w:val="3E823D9C"/>
    <w:rsid w:val="3EC80422"/>
    <w:rsid w:val="40DB3B2B"/>
    <w:rsid w:val="49D060AD"/>
    <w:rsid w:val="4A6C7F36"/>
    <w:rsid w:val="4B8244EA"/>
    <w:rsid w:val="4E0D4068"/>
    <w:rsid w:val="64C215C6"/>
    <w:rsid w:val="6AA36659"/>
    <w:rsid w:val="6AF15601"/>
    <w:rsid w:val="6C0D6146"/>
    <w:rsid w:val="6E87595C"/>
    <w:rsid w:val="75647EFD"/>
    <w:rsid w:val="7B4E316A"/>
    <w:rsid w:val="7D19514C"/>
    <w:rsid w:val="7E6D733B"/>
    <w:rsid w:val="7FD0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1780</Words>
  <Characters>1922</Characters>
  <Lines>0</Lines>
  <Paragraphs>0</Paragraphs>
  <TotalTime>6</TotalTime>
  <ScaleCrop>false</ScaleCrop>
  <LinksUpToDate>false</LinksUpToDate>
  <CharactersWithSpaces>1955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2024-09-03T03:38:00Z</dcterms:created>
  <dc:creator>Administrator</dc:creator>
  <cp:lastModifiedBy>河谷镇</cp:lastModifiedBy>
  <cp:lastPrinted>2025-03-12T03:03:00Z</cp:lastPrinted>
  <dcterms:modified xsi:type="dcterms:W3CDTF">2025-08-20T02:41:56Z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258ADAC898E1407BB53E7AFB6DF5A337_13</vt:lpwstr>
  </property>
  <property fmtid="{D5CDD505-2E9C-101B-9397-08002B2CF9AE}" pid="4" name="KSOTemplateDocerSaveRecord">
    <vt:lpwstr>eyJoZGlkIjoiNjljYzBiNmJkNjNmYjA3MDkwNzQ4ZTM5NDc1MTY5NDgiLCJ1c2VySWQiOiI0OTg3NTAzNTcifQ==</vt:lpwstr>
  </property>
</Properties>
</file>