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A0B75">
      <w:pPr>
        <w:keepNext w:val="0"/>
        <w:keepLines w:val="0"/>
        <w:pageBreakBefore w:val="0"/>
        <w:numPr>
          <w:ilvl w:val="0"/>
          <w:numId w:val="2"/>
        </w:numPr>
        <w:kinsoku/>
        <w:wordWrap/>
        <w:overflowPunct/>
        <w:topLinePunct w:val="0"/>
        <w:bidi w:val="0"/>
        <w:spacing w:line="600" w:lineRule="exact"/>
        <w:jc w:val="center"/>
        <w:outlineLvl w:val="0"/>
        <w:rPr>
          <w:rFonts w:hint="eastAsia" w:ascii="方正小标宋简体" w:hAnsi="方正小标宋简体" w:eastAsia="方正小标宋简体" w:cs="方正小标宋简体"/>
          <w:color w:val="auto"/>
          <w:sz w:val="44"/>
          <w:szCs w:val="44"/>
        </w:rPr>
      </w:pPr>
      <w:bookmarkStart w:id="0" w:name="DYNAMIC—DWXX—tAj_dwmc"/>
      <w:r>
        <w:rPr>
          <w:rFonts w:hint="eastAsia" w:ascii="方正小标宋简体" w:hAnsi="方正小标宋简体" w:eastAsia="方正小标宋简体" w:cs="方正小标宋简体"/>
          <w:color w:val="auto"/>
          <w:sz w:val="44"/>
          <w:u w:val="none"/>
          <w:lang w:eastAsia="zh-CN"/>
        </w:rPr>
        <w:t>柳州市</w:t>
      </w:r>
      <w:r>
        <w:rPr>
          <w:rFonts w:hint="default" w:ascii="方正小标宋简体" w:hAnsi="方正小标宋简体" w:eastAsia="方正小标宋简体" w:cs="方正小标宋简体"/>
          <w:color w:val="auto"/>
          <w:sz w:val="44"/>
          <w:u w:val="none"/>
        </w:rPr>
        <w:t>柳北区市场监督管理局</w:t>
      </w:r>
      <w:bookmarkEnd w:id="0"/>
    </w:p>
    <w:p w14:paraId="571A458E">
      <w:pPr>
        <w:pStyle w:val="2"/>
        <w:keepNext w:val="0"/>
        <w:keepLines w:val="0"/>
        <w:pageBreakBefore w:val="0"/>
        <w:numPr>
          <w:ilvl w:val="0"/>
          <w:numId w:val="2"/>
        </w:numPr>
        <w:kinsoku/>
        <w:wordWrap/>
        <w:overflowPunct/>
        <w:topLinePunct w:val="0"/>
        <w:bidi w:val="0"/>
        <w:spacing w:before="0" w:after="0" w:line="600" w:lineRule="exact"/>
        <w:jc w:val="center"/>
        <w:rPr>
          <w:rFonts w:hint="eastAsia" w:ascii="方正小标宋简体" w:hAnsi="方正小标宋简体" w:eastAsia="方正小标宋简体" w:cs="方正小标宋简体"/>
          <w:color w:val="auto"/>
          <w:sz w:val="44"/>
          <w:szCs w:val="44"/>
        </w:rPr>
      </w:pPr>
      <w:bookmarkStart w:id="1" w:name="_Toc76683344"/>
      <w:r>
        <w:rPr>
          <w:rFonts w:hint="eastAsia" w:ascii="方正小标宋简体" w:hAnsi="方正小标宋简体" w:eastAsia="方正小标宋简体" w:cs="方正小标宋简体"/>
          <w:color w:val="auto"/>
          <w:sz w:val="44"/>
          <w:szCs w:val="44"/>
          <w:u w:val="none"/>
          <w:lang w:val="en-US"/>
        </w:rPr>
        <w:t>行政处罚</w:t>
      </w:r>
      <w:r>
        <w:rPr>
          <w:rFonts w:hint="eastAsia" w:ascii="方正小标宋简体" w:hAnsi="方正小标宋简体" w:eastAsia="方正小标宋简体" w:cs="方正小标宋简体"/>
          <w:color w:val="auto"/>
          <w:sz w:val="44"/>
          <w:szCs w:val="44"/>
          <w:u w:val="none"/>
          <w:lang w:val="en-US" w:eastAsia="zh-Hans"/>
        </w:rPr>
        <w:t>决定</w:t>
      </w:r>
      <w:r>
        <w:rPr>
          <w:rFonts w:hint="eastAsia" w:ascii="方正小标宋简体" w:hAnsi="方正小标宋简体" w:eastAsia="方正小标宋简体" w:cs="方正小标宋简体"/>
          <w:color w:val="auto"/>
          <w:sz w:val="44"/>
          <w:szCs w:val="44"/>
          <w:u w:val="none"/>
          <w:lang w:val="en-US"/>
        </w:rPr>
        <w:t>书</w:t>
      </w:r>
      <w:bookmarkEnd w:id="1"/>
    </w:p>
    <w:p w14:paraId="15CB70E4">
      <w:pPr>
        <w:keepNext w:val="0"/>
        <w:keepLines w:val="0"/>
        <w:pageBreakBefore w:val="0"/>
        <w:widowControl/>
        <w:kinsoku/>
        <w:wordWrap/>
        <w:overflowPunct/>
        <w:topLinePunct w:val="0"/>
        <w:bidi w:val="0"/>
        <w:snapToGrid w:val="0"/>
        <w:spacing w:line="600" w:lineRule="exact"/>
        <w:ind w:right="55"/>
        <w:jc w:val="center"/>
        <w:outlineLvl w:val="1"/>
        <w:rPr>
          <w:rFonts w:hint="eastAsia" w:ascii="Times New Roman" w:hAnsi="仿宋_GB2312" w:eastAsia="仿宋_GB2312" w:cs="仿宋_GB2312"/>
          <w:bCs/>
          <w:color w:val="auto"/>
          <w:sz w:val="32"/>
          <w:szCs w:val="32"/>
        </w:rPr>
      </w:pPr>
      <w:bookmarkStart w:id="2" w:name="tAj_wh"/>
      <w:r>
        <w:rPr>
          <w:rFonts w:hint="eastAsia" w:ascii="Times New Roman" w:hAnsi="Times New Roman" w:eastAsia="仿宋_GB2312" w:cs="Mongolian Baiti"/>
          <w:color w:val="auto"/>
          <w:sz w:val="32"/>
          <w:u w:val="none"/>
        </w:rPr>
        <w:t>柳北市监处罚〔202</w:t>
      </w:r>
      <w:r>
        <w:rPr>
          <w:rFonts w:hint="eastAsia" w:ascii="Times New Roman" w:hAnsi="Times New Roman" w:eastAsia="仿宋_GB2312" w:cs="Mongolian Baiti"/>
          <w:color w:val="auto"/>
          <w:sz w:val="32"/>
          <w:u w:val="none"/>
          <w:lang w:val="en-US" w:eastAsia="zh-CN"/>
        </w:rPr>
        <w:t>5</w:t>
      </w:r>
      <w:r>
        <w:rPr>
          <w:rFonts w:hint="eastAsia" w:ascii="Times New Roman" w:hAnsi="Times New Roman" w:eastAsia="仿宋_GB2312" w:cs="Mongolian Baiti"/>
          <w:color w:val="auto"/>
          <w:sz w:val="32"/>
          <w:u w:val="none"/>
        </w:rPr>
        <w:t>〕</w:t>
      </w:r>
      <w:r>
        <w:rPr>
          <w:rFonts w:hint="eastAsia" w:ascii="Times New Roman" w:hAnsi="Times New Roman" w:eastAsia="仿宋_GB2312" w:cs="Mongolian Baiti"/>
          <w:color w:val="auto"/>
          <w:sz w:val="32"/>
          <w:u w:val="none"/>
          <w:lang w:val="en-US" w:eastAsia="zh-CN"/>
        </w:rPr>
        <w:t>102</w:t>
      </w:r>
      <w:r>
        <w:rPr>
          <w:rFonts w:hint="eastAsia" w:ascii="Times New Roman" w:hAnsi="Times New Roman" w:eastAsia="仿宋_GB2312" w:cs="Mongolian Baiti"/>
          <w:color w:val="auto"/>
          <w:sz w:val="32"/>
          <w:u w:val="none"/>
        </w:rPr>
        <w:t>号</w:t>
      </w:r>
      <w:bookmarkEnd w:id="2"/>
    </w:p>
    <w:p w14:paraId="42ECCD08">
      <w:pPr>
        <w:keepNext w:val="0"/>
        <w:keepLines w:val="0"/>
        <w:pageBreakBefore w:val="0"/>
        <w:widowControl w:val="0"/>
        <w:kinsoku/>
        <w:wordWrap/>
        <w:overflowPunct/>
        <w:topLinePunct w:val="0"/>
        <w:autoSpaceDE/>
        <w:autoSpaceDN/>
        <w:bidi w:val="0"/>
        <w:adjustRightInd w:val="0"/>
        <w:snapToGrid/>
        <w:spacing w:line="600" w:lineRule="exact"/>
        <w:ind w:left="0" w:leftChars="0" w:right="233" w:rightChars="111"/>
        <w:textAlignment w:val="baseline"/>
        <w:rPr>
          <w:rFonts w:hint="eastAsia" w:ascii="仿宋_GB2312" w:hAnsi="仿宋_GB2312" w:eastAsia="仿宋_GB2312" w:cs="仿宋_GB2312"/>
          <w:bCs/>
          <w:color w:val="auto"/>
          <w:sz w:val="32"/>
          <w:szCs w:val="32"/>
          <w:u w:val="none" w:color="auto"/>
          <w:lang w:val="en-US" w:eastAsia="zh-CN"/>
        </w:rPr>
      </w:pPr>
    </w:p>
    <w:p w14:paraId="1A3CCF37">
      <w:pPr>
        <w:keepNext w:val="0"/>
        <w:keepLines w:val="0"/>
        <w:pageBreakBefore w:val="0"/>
        <w:widowControl w:val="0"/>
        <w:kinsoku/>
        <w:wordWrap/>
        <w:overflowPunct/>
        <w:topLinePunct w:val="0"/>
        <w:autoSpaceDE/>
        <w:autoSpaceDN/>
        <w:bidi w:val="0"/>
        <w:adjustRightInd w:val="0"/>
        <w:snapToGrid/>
        <w:spacing w:line="560" w:lineRule="exact"/>
        <w:ind w:left="0" w:leftChars="0" w:right="233" w:rightChars="111"/>
        <w:textAlignment w:val="baseline"/>
        <w:rPr>
          <w:rFonts w:hint="eastAsia" w:ascii="仿宋_GB2312" w:hAnsi="仿宋_GB2312" w:eastAsia="仿宋_GB2312" w:cs="仿宋_GB2312"/>
          <w:bCs/>
          <w:color w:val="auto"/>
          <w:sz w:val="32"/>
          <w:szCs w:val="32"/>
          <w:u w:val="none" w:color="auto"/>
          <w:lang w:val="en-US" w:eastAsia="zh-CN"/>
        </w:rPr>
      </w:pPr>
      <w:r>
        <w:rPr>
          <w:rFonts w:hint="eastAsia" w:ascii="仿宋_GB2312" w:hAnsi="仿宋_GB2312" w:eastAsia="仿宋_GB2312" w:cs="仿宋_GB2312"/>
          <w:bCs/>
          <w:color w:val="auto"/>
          <w:sz w:val="32"/>
          <w:szCs w:val="32"/>
          <w:u w:val="none" w:color="auto"/>
          <w:lang w:val="en-US" w:eastAsia="zh-CN"/>
        </w:rPr>
        <w:t>当事人：</w:t>
      </w:r>
      <w:r>
        <w:rPr>
          <w:rFonts w:hint="eastAsia" w:ascii="仿宋_GB2312" w:hAnsi="仿宋" w:eastAsia="仿宋_GB2312" w:cs="仿宋"/>
          <w:color w:val="auto"/>
          <w:spacing w:val="-8"/>
          <w:sz w:val="32"/>
          <w:szCs w:val="32"/>
          <w:u w:val="none"/>
          <w:lang w:eastAsia="zh-CN"/>
        </w:rPr>
        <w:t>柳州市柳北区息娟食品店</w:t>
      </w:r>
    </w:p>
    <w:p w14:paraId="54BBF884">
      <w:pPr>
        <w:pStyle w:val="8"/>
        <w:keepNext w:val="0"/>
        <w:keepLines w:val="0"/>
        <w:pageBreakBefore w:val="0"/>
        <w:widowControl w:val="0"/>
        <w:kinsoku/>
        <w:wordWrap/>
        <w:overflowPunct/>
        <w:topLinePunct w:val="0"/>
        <w:bidi w:val="0"/>
        <w:adjustRightInd w:val="0"/>
        <w:snapToGrid/>
        <w:spacing w:line="560" w:lineRule="exact"/>
        <w:rPr>
          <w:rFonts w:hint="eastAsia" w:hAnsi="仿宋_GB2312" w:cs="仿宋_GB2312"/>
          <w:color w:val="auto"/>
          <w:sz w:val="32"/>
          <w:szCs w:val="32"/>
          <w:lang w:eastAsia="zh-CN"/>
        </w:rPr>
      </w:pPr>
      <w:r>
        <w:rPr>
          <w:rFonts w:hint="eastAsia" w:ascii="仿宋_GB2312" w:hAnsi="仿宋_GB2312" w:eastAsia="仿宋_GB2312" w:cs="仿宋_GB2312"/>
          <w:color w:val="auto"/>
          <w:sz w:val="32"/>
          <w:szCs w:val="32"/>
        </w:rPr>
        <w:t>主体资格证照名称</w:t>
      </w:r>
      <w:r>
        <w:rPr>
          <w:rFonts w:hint="eastAsia" w:hAnsi="仿宋_GB2312" w:cs="仿宋_GB2312"/>
          <w:color w:val="auto"/>
          <w:sz w:val="32"/>
          <w:szCs w:val="32"/>
          <w:lang w:eastAsia="zh-CN"/>
        </w:rPr>
        <w:t>：营业执照</w:t>
      </w:r>
    </w:p>
    <w:p w14:paraId="3DB19A12">
      <w:pPr>
        <w:pStyle w:val="8"/>
        <w:keepNext w:val="0"/>
        <w:keepLines w:val="0"/>
        <w:pageBreakBefore w:val="0"/>
        <w:widowControl w:val="0"/>
        <w:kinsoku/>
        <w:wordWrap/>
        <w:overflowPunct/>
        <w:topLinePunct w:val="0"/>
        <w:bidi w:val="0"/>
        <w:adjustRightInd w:val="0"/>
        <w:snapToGrid/>
        <w:spacing w:line="560" w:lineRule="exact"/>
        <w:rPr>
          <w:rFonts w:hint="eastAsia" w:ascii="仿宋_GB2312" w:hAnsi="仿宋" w:eastAsia="仿宋_GB2312" w:cs="仿宋"/>
          <w:color w:val="auto"/>
          <w:sz w:val="32"/>
          <w:szCs w:val="32"/>
          <w:u w:val="none"/>
          <w:lang w:val="en-US" w:eastAsia="zh-CN"/>
        </w:rPr>
      </w:pPr>
      <w:r>
        <w:rPr>
          <w:rFonts w:hint="eastAsia" w:hAnsi="仿宋_GB2312" w:cs="仿宋_GB2312"/>
          <w:color w:val="auto"/>
          <w:sz w:val="32"/>
          <w:szCs w:val="32"/>
          <w:lang w:eastAsia="zh-CN"/>
        </w:rPr>
        <w:t>统一社会信用代码：</w:t>
      </w:r>
      <w:r>
        <w:rPr>
          <w:rFonts w:hint="eastAsia" w:ascii="仿宋_GB2312" w:hAnsi="仿宋" w:eastAsia="仿宋_GB2312" w:cs="仿宋"/>
          <w:color w:val="auto"/>
          <w:spacing w:val="-8"/>
          <w:sz w:val="32"/>
          <w:szCs w:val="32"/>
          <w:u w:val="none"/>
          <w:lang w:val="en-US" w:eastAsia="zh-CN"/>
        </w:rPr>
        <w:t>92450205MA5QJ9B59E</w:t>
      </w:r>
    </w:p>
    <w:p w14:paraId="7C903CA4">
      <w:pPr>
        <w:keepNext w:val="0"/>
        <w:keepLines w:val="0"/>
        <w:pageBreakBefore w:val="0"/>
        <w:widowControl w:val="0"/>
        <w:kinsoku/>
        <w:wordWrap/>
        <w:overflowPunct/>
        <w:topLinePunct w:val="0"/>
        <w:autoSpaceDE/>
        <w:autoSpaceDN/>
        <w:bidi w:val="0"/>
        <w:adjustRightInd w:val="0"/>
        <w:snapToGrid/>
        <w:spacing w:line="560" w:lineRule="exact"/>
        <w:ind w:left="0" w:leftChars="0" w:right="233" w:rightChars="111"/>
        <w:textAlignment w:val="baseline"/>
        <w:rPr>
          <w:rFonts w:hint="eastAsia" w:ascii="仿宋_GB2312" w:hAnsi="仿宋" w:eastAsia="仿宋_GB2312" w:cs="仿宋"/>
          <w:color w:val="auto"/>
          <w:sz w:val="32"/>
          <w:szCs w:val="32"/>
          <w:u w:val="none"/>
          <w:lang w:val="en-US" w:eastAsia="zh-CN"/>
        </w:rPr>
      </w:pPr>
      <w:r>
        <w:rPr>
          <w:rFonts w:hint="eastAsia" w:ascii="仿宋_GB2312" w:hAnsi="Times New Roman" w:eastAsia="仿宋_GB2312" w:cs="仿宋_GB2312"/>
          <w:color w:val="auto"/>
          <w:sz w:val="32"/>
          <w:szCs w:val="32"/>
          <w:u w:val="none"/>
        </w:rPr>
        <w:t>经营场所：</w:t>
      </w:r>
      <w:r>
        <w:rPr>
          <w:rFonts w:hint="eastAsia" w:ascii="仿宋_GB2312" w:hAnsi="仿宋" w:eastAsia="仿宋_GB2312" w:cs="仿宋"/>
          <w:color w:val="auto"/>
          <w:spacing w:val="-8"/>
          <w:sz w:val="32"/>
          <w:szCs w:val="32"/>
          <w:u w:val="none"/>
          <w:lang w:val="en-US" w:eastAsia="zh-CN"/>
        </w:rPr>
        <w:t>柳州市柳北区雀儿山市场内4-1号门面</w:t>
      </w:r>
    </w:p>
    <w:p w14:paraId="757BEA5F">
      <w:pPr>
        <w:pStyle w:val="8"/>
        <w:keepNext w:val="0"/>
        <w:keepLines w:val="0"/>
        <w:pageBreakBefore w:val="0"/>
        <w:widowControl w:val="0"/>
        <w:kinsoku/>
        <w:wordWrap/>
        <w:overflowPunct/>
        <w:topLinePunct w:val="0"/>
        <w:bidi w:val="0"/>
        <w:adjustRightInd w:val="0"/>
        <w:snapToGrid/>
        <w:spacing w:line="560" w:lineRule="exact"/>
        <w:rPr>
          <w:rFonts w:hint="eastAsia"/>
          <w:color w:val="auto"/>
          <w:lang w:val="en-US" w:eastAsia="zh-CN"/>
        </w:rPr>
      </w:pPr>
      <w:r>
        <w:rPr>
          <w:rFonts w:hint="eastAsia" w:hAnsi="仿宋" w:cs="仿宋"/>
          <w:color w:val="auto"/>
          <w:sz w:val="32"/>
          <w:szCs w:val="32"/>
          <w:u w:val="none"/>
          <w:lang w:val="en-US" w:eastAsia="zh-CN"/>
        </w:rPr>
        <w:t>经营者：</w:t>
      </w:r>
      <w:r>
        <w:rPr>
          <w:rFonts w:hint="eastAsia" w:ascii="仿宋_GB2312" w:hAnsi="仿宋" w:eastAsia="仿宋_GB2312" w:cs="仿宋"/>
          <w:color w:val="auto"/>
          <w:spacing w:val="-8"/>
          <w:sz w:val="32"/>
          <w:szCs w:val="32"/>
          <w:u w:val="none"/>
          <w:lang w:val="en-US" w:eastAsia="zh-CN"/>
        </w:rPr>
        <w:t>姚息娟</w:t>
      </w:r>
    </w:p>
    <w:p w14:paraId="383B8D6B">
      <w:pPr>
        <w:keepNext w:val="0"/>
        <w:keepLines w:val="0"/>
        <w:pageBreakBefore w:val="0"/>
        <w:widowControl w:val="0"/>
        <w:kinsoku/>
        <w:wordWrap/>
        <w:overflowPunct/>
        <w:topLinePunct w:val="0"/>
        <w:autoSpaceDE/>
        <w:autoSpaceDN/>
        <w:bidi w:val="0"/>
        <w:adjustRightInd w:val="0"/>
        <w:snapToGrid/>
        <w:spacing w:line="560" w:lineRule="exact"/>
        <w:ind w:left="0" w:leftChars="0" w:right="233" w:rightChars="111"/>
        <w:textAlignment w:val="baseline"/>
        <w:rPr>
          <w:rFonts w:hint="default" w:ascii="仿宋_GB2312" w:hAnsi="仿宋_GB2312" w:eastAsia="仿宋_GB2312" w:cs="仿宋_GB2312"/>
          <w:bCs/>
          <w:color w:val="auto"/>
          <w:sz w:val="32"/>
          <w:szCs w:val="32"/>
          <w:u w:val="none" w:color="auto"/>
          <w:lang w:val="en-US" w:eastAsia="zh-CN"/>
        </w:rPr>
      </w:pPr>
      <w:r>
        <w:rPr>
          <w:rFonts w:hint="eastAsia" w:ascii="仿宋_GB2312" w:hAnsi="仿宋_GB2312" w:eastAsia="仿宋_GB2312" w:cs="仿宋_GB2312"/>
          <w:bCs/>
          <w:color w:val="auto"/>
          <w:sz w:val="32"/>
          <w:szCs w:val="32"/>
          <w:u w:val="none" w:color="auto"/>
          <w:lang w:val="en-US" w:eastAsia="zh-CN"/>
        </w:rPr>
        <w:t>身份证件号码：*</w:t>
      </w:r>
    </w:p>
    <w:p w14:paraId="2FF872F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u w:val="none"/>
          <w:lang w:val="en-US" w:eastAsia="zh-CN"/>
        </w:rPr>
      </w:pPr>
    </w:p>
    <w:p w14:paraId="2F5BC46A">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bookmarkStart w:id="3" w:name="OLE_LINK3"/>
      <w:r>
        <w:rPr>
          <w:rFonts w:hint="default" w:ascii="Times New Roman" w:hAnsi="Times New Roman" w:eastAsia="仿宋_GB2312" w:cs="Times New Roman"/>
          <w:color w:val="auto"/>
          <w:sz w:val="32"/>
          <w:szCs w:val="32"/>
          <w:highlight w:val="none"/>
          <w:u w:val="none"/>
          <w:lang w:val="en-US" w:eastAsia="zh-CN"/>
        </w:rPr>
        <w:t>2024年12月1</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日我局执法人员对当事人进行检查，</w:t>
      </w:r>
      <w:r>
        <w:rPr>
          <w:rFonts w:hint="eastAsia" w:ascii="仿宋_GB2312" w:hAnsi="Times New Roman" w:eastAsia="仿宋_GB2312" w:cs="仿宋_GB2312"/>
          <w:color w:val="auto"/>
          <w:sz w:val="32"/>
          <w:highlight w:val="none"/>
          <w:u w:val="none"/>
          <w:lang w:val="en-US" w:eastAsia="zh-CN"/>
        </w:rPr>
        <w:t>发现当事人在经营活动中用于贸易结算的一台电子计价秤，该秤的标签标有</w:t>
      </w:r>
      <w:r>
        <w:rPr>
          <w:rFonts w:hint="eastAsia" w:ascii="仿宋_GB2312" w:hAnsi="仿宋" w:eastAsia="仿宋_GB2312" w:cs="仿宋"/>
          <w:color w:val="auto"/>
          <w:sz w:val="32"/>
          <w:szCs w:val="32"/>
          <w:u w:val="none"/>
          <w:lang w:eastAsia="zh-CN"/>
        </w:rPr>
        <w:t>“</w:t>
      </w:r>
      <w:r>
        <w:rPr>
          <w:rFonts w:hint="eastAsia" w:ascii="仿宋_GB2312" w:hAnsi="仿宋" w:eastAsia="仿宋_GB2312" w:cs="仿宋"/>
          <w:color w:val="auto"/>
          <w:sz w:val="32"/>
          <w:szCs w:val="32"/>
          <w:u w:val="none"/>
          <w:lang w:val="en-US" w:eastAsia="zh-CN"/>
        </w:rPr>
        <w:t>ACS-30型电子计价秤，生产编号：28996，生产日期</w:t>
      </w:r>
      <w:r>
        <w:rPr>
          <w:rFonts w:hint="eastAsia" w:ascii="仿宋_GB2312" w:hAnsi="仿宋" w:eastAsia="仿宋_GB2312" w:cs="仿宋"/>
          <w:color w:val="auto"/>
          <w:sz w:val="32"/>
          <w:szCs w:val="32"/>
          <w:u w:val="none"/>
          <w:shd w:val="clear" w:color="auto" w:fill="auto"/>
          <w:lang w:val="en-US" w:eastAsia="zh-CN"/>
        </w:rPr>
        <w:t>：22/03/28，</w:t>
      </w:r>
      <w:r>
        <w:rPr>
          <w:rFonts w:hint="eastAsia" w:ascii="仿宋_GB2312" w:hAnsi="仿宋" w:eastAsia="仿宋_GB2312" w:cs="仿宋"/>
          <w:color w:val="auto"/>
          <w:sz w:val="32"/>
          <w:szCs w:val="32"/>
          <w:u w:val="none"/>
          <w:lang w:val="en-US" w:eastAsia="zh-CN"/>
        </w:rPr>
        <w:t>*衡器有限公司，最大秤量30kg,最小秤量：200g</w:t>
      </w:r>
      <w:r>
        <w:rPr>
          <w:rFonts w:hint="eastAsia" w:ascii="仿宋_GB2312" w:hAnsi="仿宋" w:eastAsia="仿宋_GB2312" w:cs="仿宋"/>
          <w:color w:val="auto"/>
          <w:sz w:val="32"/>
          <w:szCs w:val="32"/>
          <w:u w:val="none"/>
          <w:lang w:eastAsia="zh-CN"/>
        </w:rPr>
        <w:t>”</w:t>
      </w:r>
      <w:r>
        <w:rPr>
          <w:rFonts w:hint="eastAsia" w:ascii="仿宋_GB2312" w:hAnsi="Times New Roman" w:eastAsia="仿宋_GB2312" w:cs="仿宋_GB2312"/>
          <w:color w:val="auto"/>
          <w:sz w:val="32"/>
          <w:highlight w:val="none"/>
          <w:u w:val="none"/>
          <w:lang w:val="en-US" w:eastAsia="zh-CN"/>
        </w:rPr>
        <w:t>，执法人员将2kg标准砝码放置在上述电子计价秤上称重，</w:t>
      </w:r>
      <w:r>
        <w:rPr>
          <w:rFonts w:hint="eastAsia" w:ascii="仿宋_GB2312" w:hAnsi="仿宋" w:eastAsia="仿宋_GB2312" w:cs="仿宋"/>
          <w:color w:val="auto"/>
          <w:sz w:val="32"/>
          <w:szCs w:val="32"/>
          <w:u w:val="none"/>
          <w:lang w:val="en-US" w:eastAsia="zh-CN"/>
        </w:rPr>
        <w:t>当按下单价1按键时，显示称重数值为4.2斤；当按下单价2按键时，显示称重数值为4.4斤；当按下单价3按键时，显示称重数值为4.6斤；当按下单价4/计数时，显示显示称重数值为4.8斤；当按下单价5/取样时，显示称重数值为5.0斤，当按下单价6/动态时，显示称重数值为5.2斤。</w:t>
      </w:r>
      <w:r>
        <w:rPr>
          <w:rFonts w:hint="eastAsia" w:ascii="仿宋_GB2312" w:hAnsi="Times New Roman" w:eastAsia="仿宋_GB2312" w:cs="仿宋_GB2312"/>
          <w:color w:val="auto"/>
          <w:sz w:val="32"/>
          <w:highlight w:val="none"/>
          <w:u w:val="none"/>
          <w:lang w:val="en-US" w:eastAsia="zh-CN"/>
        </w:rPr>
        <w:t>因当事人涉嫌使用不合格电子计价秤，执法人员现场对该电子计价秤进行抽样送检。</w:t>
      </w:r>
      <w:r>
        <w:rPr>
          <w:rFonts w:hint="default" w:ascii="Times New Roman" w:hAnsi="Times New Roman" w:eastAsia="仿宋_GB2312" w:cs="Times New Roman"/>
          <w:color w:val="auto"/>
          <w:sz w:val="32"/>
          <w:szCs w:val="32"/>
          <w:highlight w:val="none"/>
          <w:u w:val="none"/>
          <w:lang w:val="en-US" w:eastAsia="zh-CN"/>
        </w:rPr>
        <w:t>2025年1月23日，我局收到柳州市计量技术测试研究所出具的《检定结果通知书》</w:t>
      </w:r>
      <w:r>
        <w:rPr>
          <w:rFonts w:hint="default" w:ascii="Times New Roman" w:hAnsi="Times New Roman" w:eastAsia="仿宋_GB2312" w:cs="Times New Roman"/>
          <w:color w:val="auto"/>
          <w:kern w:val="0"/>
          <w:sz w:val="32"/>
          <w:szCs w:val="32"/>
          <w:highlight w:val="none"/>
          <w:u w:val="none"/>
        </w:rPr>
        <w:t>（证书编号：HLH2</w:t>
      </w:r>
      <w:r>
        <w:rPr>
          <w:rFonts w:hint="default" w:ascii="Times New Roman" w:hAnsi="Times New Roman" w:eastAsia="仿宋_GB2312" w:cs="Times New Roman"/>
          <w:color w:val="auto"/>
          <w:kern w:val="0"/>
          <w:sz w:val="32"/>
          <w:szCs w:val="32"/>
          <w:highlight w:val="none"/>
          <w:u w:val="none"/>
          <w:lang w:val="en-US" w:eastAsia="zh-CN"/>
        </w:rPr>
        <w:t>50100</w:t>
      </w:r>
      <w:r>
        <w:rPr>
          <w:rFonts w:hint="eastAsia" w:ascii="Times New Roman" w:hAnsi="Times New Roman" w:eastAsia="仿宋_GB2312" w:cs="Times New Roman"/>
          <w:color w:val="auto"/>
          <w:kern w:val="0"/>
          <w:sz w:val="32"/>
          <w:szCs w:val="32"/>
          <w:highlight w:val="none"/>
          <w:u w:val="none"/>
          <w:lang w:val="en-US" w:eastAsia="zh-CN"/>
        </w:rPr>
        <w:t>29</w:t>
      </w:r>
      <w:r>
        <w:rPr>
          <w:rFonts w:hint="default" w:ascii="Times New Roman" w:hAnsi="Times New Roman" w:eastAsia="仿宋_GB2312" w:cs="Times New Roman"/>
          <w:color w:val="auto"/>
          <w:kern w:val="0"/>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，检定结论为不合格。2025年1月24日我局向当事人送达了上述《检定结果通知书》和《检定结果告知书》</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依法对上述电子计价秤采取扣押的行政强制措施。当事人在法定期限内未提出复检申请。202</w:t>
      </w: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val="en-US" w:eastAsia="zh-CN"/>
        </w:rPr>
        <w:t>年</w:t>
      </w:r>
      <w:r>
        <w:rPr>
          <w:rFonts w:hint="eastAsia" w:ascii="Times New Roman" w:hAnsi="Times New Roman"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lang w:val="en-US" w:eastAsia="zh-CN"/>
        </w:rPr>
        <w:t>月</w:t>
      </w:r>
      <w:r>
        <w:rPr>
          <w:rFonts w:hint="eastAsia" w:ascii="Times New Roman" w:hAnsi="Times New Roman"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lang w:val="en-US" w:eastAsia="zh-CN"/>
        </w:rPr>
        <w:t>日我局对当事人上述行为进行立案调查。</w:t>
      </w:r>
    </w:p>
    <w:bookmarkEnd w:id="3"/>
    <w:p w14:paraId="7F5EE17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经查实，</w:t>
      </w:r>
      <w:r>
        <w:rPr>
          <w:rFonts w:hint="eastAsia" w:ascii="Times New Roman" w:hAnsi="Times New Roman" w:eastAsia="仿宋_GB2312" w:cs="Times New Roman"/>
          <w:color w:val="auto"/>
          <w:sz w:val="32"/>
          <w:szCs w:val="32"/>
          <w:highlight w:val="none"/>
          <w:u w:val="none"/>
          <w:lang w:val="en-US" w:eastAsia="zh-CN"/>
        </w:rPr>
        <w:t>2024年4月24日至</w:t>
      </w:r>
      <w:r>
        <w:rPr>
          <w:rFonts w:hint="default" w:ascii="Times New Roman" w:hAnsi="Times New Roman" w:eastAsia="仿宋_GB2312" w:cs="Times New Roman"/>
          <w:color w:val="auto"/>
          <w:sz w:val="32"/>
          <w:szCs w:val="32"/>
          <w:highlight w:val="none"/>
          <w:lang w:eastAsia="zh-CN"/>
        </w:rPr>
        <w:t>2024年12月1</w:t>
      </w: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eastAsia="zh-CN"/>
        </w:rPr>
        <w:t>日</w:t>
      </w:r>
      <w:r>
        <w:rPr>
          <w:rFonts w:hint="default" w:ascii="Times New Roman" w:hAnsi="Times New Roman" w:eastAsia="仿宋_GB2312" w:cs="Times New Roman"/>
          <w:color w:val="auto"/>
          <w:sz w:val="32"/>
          <w:szCs w:val="32"/>
          <w:highlight w:val="none"/>
          <w:u w:val="none"/>
          <w:lang w:val="en-US" w:eastAsia="zh-CN"/>
        </w:rPr>
        <w:t>被我局依法查获</w:t>
      </w:r>
      <w:r>
        <w:rPr>
          <w:rFonts w:hint="eastAsia" w:ascii="Times New Roman" w:hAnsi="Times New Roman" w:eastAsia="仿宋_GB2312" w:cs="Times New Roman"/>
          <w:color w:val="auto"/>
          <w:sz w:val="32"/>
          <w:szCs w:val="32"/>
          <w:highlight w:val="none"/>
          <w:u w:val="none"/>
          <w:lang w:val="en-US" w:eastAsia="zh-CN"/>
        </w:rPr>
        <w:t>期间</w:t>
      </w:r>
      <w:r>
        <w:rPr>
          <w:rFonts w:hint="default"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当事人</w:t>
      </w:r>
      <w:r>
        <w:rPr>
          <w:rFonts w:hint="default" w:ascii="Times New Roman" w:hAnsi="Times New Roman" w:eastAsia="仿宋_GB2312" w:cs="Times New Roman"/>
          <w:color w:val="auto"/>
          <w:sz w:val="32"/>
          <w:szCs w:val="32"/>
          <w:highlight w:val="none"/>
          <w:u w:val="none"/>
          <w:lang w:val="en-US" w:eastAsia="zh-CN"/>
        </w:rPr>
        <w:t>在</w:t>
      </w:r>
      <w:r>
        <w:rPr>
          <w:rFonts w:hint="eastAsia" w:ascii="仿宋_GB2312" w:hAnsi="仿宋" w:eastAsia="仿宋_GB2312" w:cs="仿宋"/>
          <w:color w:val="auto"/>
          <w:spacing w:val="-8"/>
          <w:sz w:val="32"/>
          <w:szCs w:val="32"/>
          <w:u w:val="none"/>
          <w:lang w:val="en-US" w:eastAsia="zh-CN"/>
        </w:rPr>
        <w:t>柳州市柳北区雀儿山市场内4-1号门面</w:t>
      </w:r>
      <w:r>
        <w:rPr>
          <w:rFonts w:hint="default" w:ascii="Times New Roman" w:hAnsi="Times New Roman" w:eastAsia="仿宋_GB2312" w:cs="Times New Roman"/>
          <w:color w:val="auto"/>
          <w:sz w:val="32"/>
          <w:szCs w:val="32"/>
          <w:highlight w:val="none"/>
          <w:u w:val="none"/>
          <w:lang w:val="en-US" w:eastAsia="zh-CN"/>
        </w:rPr>
        <w:t>从事</w:t>
      </w:r>
      <w:r>
        <w:rPr>
          <w:rFonts w:hint="eastAsia" w:ascii="Times New Roman" w:hAnsi="Times New Roman" w:eastAsia="仿宋_GB2312" w:cs="Times New Roman"/>
          <w:color w:val="auto"/>
          <w:sz w:val="32"/>
          <w:szCs w:val="32"/>
          <w:highlight w:val="none"/>
          <w:u w:val="none"/>
          <w:lang w:val="en-US" w:eastAsia="zh-CN"/>
        </w:rPr>
        <w:t>羊肉</w:t>
      </w:r>
      <w:r>
        <w:rPr>
          <w:rFonts w:hint="default" w:ascii="Times New Roman" w:hAnsi="Times New Roman" w:eastAsia="仿宋_GB2312" w:cs="Times New Roman"/>
          <w:color w:val="auto"/>
          <w:sz w:val="32"/>
          <w:szCs w:val="32"/>
          <w:highlight w:val="none"/>
          <w:u w:val="none"/>
          <w:lang w:val="en-US" w:eastAsia="zh-CN"/>
        </w:rPr>
        <w:t>经营活动中用于贸易结算的一台电子计价秤</w:t>
      </w:r>
      <w:r>
        <w:rPr>
          <w:rFonts w:hint="default" w:ascii="Times New Roman" w:hAnsi="Times New Roman" w:eastAsia="仿宋_GB2312" w:cs="Times New Roman"/>
          <w:color w:val="auto"/>
          <w:sz w:val="32"/>
          <w:szCs w:val="32"/>
          <w:highlight w:val="none"/>
          <w:lang w:eastAsia="zh-CN"/>
        </w:rPr>
        <w:t>（</w:t>
      </w:r>
      <w:r>
        <w:rPr>
          <w:rFonts w:hint="eastAsia" w:ascii="仿宋_GB2312" w:hAnsi="仿宋" w:eastAsia="仿宋_GB2312" w:cs="仿宋"/>
          <w:color w:val="auto"/>
          <w:sz w:val="32"/>
          <w:szCs w:val="32"/>
          <w:u w:val="none"/>
          <w:lang w:val="en-US" w:eastAsia="zh-CN"/>
        </w:rPr>
        <w:t>武义县金宇衡器有限公司</w:t>
      </w:r>
      <w:r>
        <w:rPr>
          <w:rFonts w:hint="default" w:ascii="Times New Roman" w:hAnsi="Times New Roman" w:eastAsia="仿宋_GB2312" w:cs="Times New Roman"/>
          <w:color w:val="auto"/>
          <w:sz w:val="32"/>
          <w:szCs w:val="32"/>
          <w:highlight w:val="none"/>
          <w:u w:val="none"/>
          <w:lang w:val="en-US" w:eastAsia="zh-CN"/>
        </w:rPr>
        <w:t>），经柳州市计量技术测试研究所检定并出具的《检定结果通知书》</w:t>
      </w:r>
      <w:r>
        <w:rPr>
          <w:rFonts w:hint="default" w:ascii="Times New Roman" w:hAnsi="Times New Roman" w:eastAsia="仿宋_GB2312" w:cs="Times New Roman"/>
          <w:color w:val="auto"/>
          <w:kern w:val="0"/>
          <w:sz w:val="32"/>
          <w:szCs w:val="32"/>
          <w:highlight w:val="none"/>
          <w:u w:val="none"/>
        </w:rPr>
        <w:t>（证书编号：</w:t>
      </w:r>
      <w:r>
        <w:rPr>
          <w:rFonts w:hint="default" w:ascii="Times New Roman" w:hAnsi="Times New Roman" w:eastAsia="仿宋_GB2312" w:cs="Times New Roman"/>
          <w:color w:val="auto"/>
          <w:kern w:val="0"/>
          <w:sz w:val="32"/>
          <w:szCs w:val="32"/>
          <w:highlight w:val="none"/>
          <w:u w:val="none"/>
          <w:lang w:eastAsia="zh-CN"/>
        </w:rPr>
        <w:t>HLH250100</w:t>
      </w:r>
      <w:r>
        <w:rPr>
          <w:rFonts w:hint="eastAsia" w:ascii="Times New Roman" w:hAnsi="Times New Roman" w:eastAsia="仿宋_GB2312" w:cs="Times New Roman"/>
          <w:color w:val="auto"/>
          <w:kern w:val="0"/>
          <w:sz w:val="32"/>
          <w:szCs w:val="32"/>
          <w:highlight w:val="none"/>
          <w:u w:val="none"/>
          <w:lang w:val="en-US" w:eastAsia="zh-CN"/>
        </w:rPr>
        <w:t>29</w:t>
      </w:r>
      <w:r>
        <w:rPr>
          <w:rFonts w:hint="default" w:ascii="Times New Roman" w:hAnsi="Times New Roman" w:eastAsia="仿宋_GB2312" w:cs="Times New Roman"/>
          <w:color w:val="auto"/>
          <w:kern w:val="0"/>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记载：“计量器具名称：电子计价秤（</w:t>
      </w:r>
      <w:r>
        <w:rPr>
          <w:rFonts w:hint="eastAsia" w:ascii="仿宋_GB2312" w:hAnsi="仿宋" w:eastAsia="仿宋_GB2312" w:cs="仿宋"/>
          <w:color w:val="auto"/>
          <w:spacing w:val="-8"/>
          <w:sz w:val="32"/>
          <w:szCs w:val="32"/>
          <w:u w:val="none"/>
          <w:lang w:val="en-US" w:eastAsia="zh-CN"/>
        </w:rPr>
        <w:t>姚息娟</w:t>
      </w:r>
      <w:r>
        <w:rPr>
          <w:rFonts w:hint="default" w:ascii="Times New Roman" w:hAnsi="Times New Roman" w:eastAsia="仿宋_GB2312" w:cs="Times New Roman"/>
          <w:color w:val="auto"/>
          <w:sz w:val="32"/>
          <w:szCs w:val="32"/>
          <w:highlight w:val="none"/>
          <w:u w:val="none"/>
          <w:lang w:val="en-US" w:eastAsia="zh-CN"/>
        </w:rPr>
        <w:t>），</w:t>
      </w:r>
      <w:r>
        <w:rPr>
          <w:rFonts w:hint="eastAsia" w:ascii="仿宋_GB2312" w:hAnsi="仿宋" w:eastAsia="仿宋_GB2312" w:cs="仿宋"/>
          <w:color w:val="auto"/>
          <w:sz w:val="32"/>
          <w:szCs w:val="32"/>
          <w:u w:val="none"/>
          <w:lang w:val="en-US" w:eastAsia="zh-CN"/>
        </w:rPr>
        <w:t>型号/规格：ACS-30，出厂编号：28996，制造单位：*衡器有限公司，检定结论：不合格。</w:t>
      </w:r>
      <w:r>
        <w:rPr>
          <w:rFonts w:hint="eastAsia" w:ascii="仿宋_GB2312" w:hAnsi="Times New Roman" w:eastAsia="仿宋_GB2312" w:cs="仿宋_GB2312"/>
          <w:color w:val="auto"/>
          <w:sz w:val="32"/>
          <w:highlight w:val="none"/>
          <w:u w:val="none"/>
          <w:lang w:val="en-US" w:eastAsia="zh-CN"/>
        </w:rPr>
        <w:t>”其中检定数据/结果：1、</w:t>
      </w:r>
      <w:r>
        <w:rPr>
          <w:rFonts w:hint="eastAsia" w:ascii="仿宋_GB2312" w:hAnsi="仿宋_GB2312" w:eastAsia="仿宋_GB2312" w:cs="仿宋_GB2312"/>
          <w:bCs/>
          <w:color w:val="auto"/>
          <w:sz w:val="32"/>
          <w:szCs w:val="32"/>
          <w:highlight w:val="none"/>
          <w:u w:val="none"/>
          <w:lang w:val="en-US" w:eastAsia="zh-CN"/>
        </w:rPr>
        <w:t>检定项目：计量单位检定结果为不合格，该称的计量单位为“市斤”，为非法定计量单位</w:t>
      </w:r>
      <w:r>
        <w:rPr>
          <w:rFonts w:hint="eastAsia" w:ascii="仿宋_GB2312" w:hAnsi="Times New Roman" w:eastAsia="仿宋_GB2312" w:cs="仿宋_GB2312"/>
          <w:color w:val="auto"/>
          <w:sz w:val="32"/>
          <w:highlight w:val="none"/>
          <w:u w:val="none"/>
          <w:lang w:val="en-US" w:eastAsia="zh-CN"/>
        </w:rPr>
        <w:t>；2、</w:t>
      </w:r>
      <w:r>
        <w:rPr>
          <w:rFonts w:hint="eastAsia" w:ascii="仿宋_GB2312" w:hAnsi="仿宋_GB2312" w:eastAsia="仿宋_GB2312" w:cs="仿宋_GB2312"/>
          <w:bCs/>
          <w:color w:val="auto"/>
          <w:sz w:val="32"/>
          <w:szCs w:val="32"/>
          <w:highlight w:val="none"/>
          <w:u w:val="none"/>
          <w:lang w:val="en-US" w:eastAsia="zh-CN"/>
        </w:rPr>
        <w:t>检定项目：</w:t>
      </w:r>
      <w:r>
        <w:rPr>
          <w:rFonts w:hint="eastAsia" w:ascii="仿宋_GB2312" w:hAnsi="Times New Roman" w:eastAsia="仿宋_GB2312" w:cs="仿宋_GB2312"/>
          <w:color w:val="auto"/>
          <w:sz w:val="32"/>
          <w:highlight w:val="none"/>
          <w:u w:val="none"/>
          <w:lang w:val="en-US" w:eastAsia="zh-CN"/>
        </w:rPr>
        <w:t>计量的安全性</w:t>
      </w:r>
      <w:r>
        <w:rPr>
          <w:rFonts w:hint="eastAsia" w:ascii="仿宋_GB2312" w:hAnsi="仿宋_GB2312" w:eastAsia="仿宋_GB2312" w:cs="仿宋_GB2312"/>
          <w:bCs/>
          <w:color w:val="auto"/>
          <w:sz w:val="32"/>
          <w:szCs w:val="32"/>
          <w:highlight w:val="none"/>
          <w:u w:val="none"/>
          <w:lang w:val="en-US" w:eastAsia="zh-CN"/>
        </w:rPr>
        <w:t>检定结果为</w:t>
      </w:r>
      <w:r>
        <w:rPr>
          <w:rFonts w:hint="eastAsia" w:ascii="仿宋_GB2312" w:hAnsi="Times New Roman" w:eastAsia="仿宋_GB2312" w:cs="仿宋_GB2312"/>
          <w:color w:val="auto"/>
          <w:sz w:val="32"/>
          <w:highlight w:val="none"/>
          <w:u w:val="none"/>
          <w:lang w:val="en-US" w:eastAsia="zh-CN"/>
        </w:rPr>
        <w:t>不符合。该秤未加有铅封，且存在不破坏铅封就能对秤进行与计量性能有关的参数调整的情况。该秤存在欺骗性使用特征。经试验，开机后，按“3”→“去皮”后，进入作弊状态，通过按下不同的按键改变称量示值。因当事人在经营过程中未建立进销台账记录，故营业性收入无法计算。</w:t>
      </w:r>
    </w:p>
    <w:p w14:paraId="6169A784">
      <w:pPr>
        <w:keepNext w:val="0"/>
        <w:keepLines w:val="0"/>
        <w:pageBreakBefore w:val="0"/>
        <w:widowControl w:val="0"/>
        <w:kinsoku/>
        <w:wordWrap/>
        <w:overflowPunct/>
        <w:topLinePunct w:val="0"/>
        <w:autoSpaceDE/>
        <w:autoSpaceDN/>
        <w:bidi w:val="0"/>
        <w:snapToGrid/>
        <w:spacing w:line="50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上述事实，主要有以下证据证明：</w:t>
      </w:r>
    </w:p>
    <w:p w14:paraId="54AEF57A">
      <w:pPr>
        <w:keepNext w:val="0"/>
        <w:keepLines w:val="0"/>
        <w:pageBreakBefore w:val="0"/>
        <w:widowControl w:val="0"/>
        <w:kinsoku/>
        <w:wordWrap/>
        <w:overflowPunct/>
        <w:topLinePunct w:val="0"/>
        <w:autoSpaceDE/>
        <w:autoSpaceDN/>
        <w:bidi w:val="0"/>
        <w:snapToGrid/>
        <w:spacing w:line="50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1.当事人的《营业执照》复印件1份及经营者</w:t>
      </w:r>
      <w:r>
        <w:rPr>
          <w:rFonts w:hint="eastAsia" w:ascii="仿宋_GB2312" w:hAnsi="仿宋" w:eastAsia="仿宋_GB2312" w:cs="仿宋"/>
          <w:color w:val="auto"/>
          <w:spacing w:val="-8"/>
          <w:sz w:val="32"/>
          <w:szCs w:val="32"/>
          <w:u w:val="none"/>
          <w:lang w:val="en-US" w:eastAsia="zh-CN"/>
        </w:rPr>
        <w:t>姚息娟</w:t>
      </w:r>
      <w:r>
        <w:rPr>
          <w:rFonts w:hint="default" w:ascii="Times New Roman" w:hAnsi="Times New Roman" w:eastAsia="仿宋_GB2312" w:cs="Times New Roman"/>
          <w:b w:val="0"/>
          <w:bCs w:val="0"/>
          <w:color w:val="auto"/>
          <w:sz w:val="32"/>
          <w:szCs w:val="32"/>
          <w:highlight w:val="none"/>
          <w:lang w:eastAsia="zh-CN"/>
        </w:rPr>
        <w:t>身份证复印件1份，证明当事人的主体资格及经营者</w:t>
      </w:r>
      <w:r>
        <w:rPr>
          <w:rFonts w:hint="eastAsia" w:ascii="Times New Roman" w:hAnsi="Times New Roman" w:eastAsia="仿宋_GB2312" w:cs="Times New Roman"/>
          <w:b w:val="0"/>
          <w:bCs w:val="0"/>
          <w:color w:val="auto"/>
          <w:sz w:val="32"/>
          <w:szCs w:val="32"/>
          <w:highlight w:val="none"/>
          <w:lang w:val="en-US" w:eastAsia="zh-CN"/>
        </w:rPr>
        <w:t>的身份信息</w:t>
      </w:r>
      <w:r>
        <w:rPr>
          <w:rFonts w:hint="default" w:ascii="Times New Roman" w:hAnsi="Times New Roman" w:eastAsia="仿宋_GB2312" w:cs="Times New Roman"/>
          <w:b w:val="0"/>
          <w:bCs w:val="0"/>
          <w:color w:val="auto"/>
          <w:sz w:val="32"/>
          <w:szCs w:val="32"/>
          <w:highlight w:val="none"/>
          <w:lang w:eastAsia="zh-CN"/>
        </w:rPr>
        <w:t>。</w:t>
      </w:r>
    </w:p>
    <w:p w14:paraId="3EAA90FB">
      <w:pPr>
        <w:keepNext w:val="0"/>
        <w:keepLines w:val="0"/>
        <w:pageBreakBefore w:val="0"/>
        <w:widowControl w:val="0"/>
        <w:kinsoku/>
        <w:wordWrap/>
        <w:overflowPunct/>
        <w:topLinePunct w:val="0"/>
        <w:autoSpaceDE/>
        <w:autoSpaceDN/>
        <w:bidi w:val="0"/>
        <w:snapToGrid/>
        <w:spacing w:line="50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2.</w:t>
      </w:r>
      <w:r>
        <w:rPr>
          <w:rFonts w:hint="default" w:ascii="Times New Roman" w:hAnsi="Times New Roman" w:eastAsia="仿宋_GB2312" w:cs="Times New Roman"/>
          <w:color w:val="auto"/>
          <w:sz w:val="32"/>
          <w:szCs w:val="32"/>
          <w:highlight w:val="none"/>
          <w:lang w:eastAsia="zh-CN"/>
        </w:rPr>
        <w:t>2024年12月1</w:t>
      </w: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eastAsia="zh-CN"/>
        </w:rPr>
        <w:t>日</w:t>
      </w:r>
      <w:r>
        <w:rPr>
          <w:rFonts w:hint="default" w:ascii="Times New Roman" w:hAnsi="Times New Roman" w:eastAsia="仿宋_GB2312" w:cs="Times New Roman"/>
          <w:b w:val="0"/>
          <w:bCs w:val="0"/>
          <w:color w:val="auto"/>
          <w:sz w:val="32"/>
          <w:szCs w:val="32"/>
          <w:highlight w:val="none"/>
          <w:lang w:eastAsia="zh-CN"/>
        </w:rPr>
        <w:t>我局执法人员对当事人进行现场检查制作的《现场笔录》1份、证据提取单</w:t>
      </w:r>
      <w:r>
        <w:rPr>
          <w:rFonts w:hint="eastAsia"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lang w:eastAsia="zh-CN"/>
        </w:rPr>
        <w:t>份、《计量器具抽样登记表》（编号：柳北计量抽〔2024〕第</w:t>
      </w:r>
      <w:r>
        <w:rPr>
          <w:rFonts w:hint="eastAsia" w:ascii="Times New Roman" w:hAnsi="Times New Roman" w:eastAsia="仿宋_GB2312" w:cs="Times New Roman"/>
          <w:b w:val="0"/>
          <w:bCs w:val="0"/>
          <w:color w:val="auto"/>
          <w:sz w:val="32"/>
          <w:szCs w:val="32"/>
          <w:highlight w:val="none"/>
          <w:lang w:val="en-US" w:eastAsia="zh-CN"/>
        </w:rPr>
        <w:t>62024121702</w:t>
      </w:r>
      <w:r>
        <w:rPr>
          <w:rFonts w:hint="default" w:ascii="Times New Roman" w:hAnsi="Times New Roman" w:eastAsia="仿宋_GB2312" w:cs="Times New Roman"/>
          <w:b w:val="0"/>
          <w:bCs w:val="0"/>
          <w:color w:val="auto"/>
          <w:sz w:val="32"/>
          <w:szCs w:val="32"/>
          <w:highlight w:val="none"/>
          <w:lang w:eastAsia="zh-CN"/>
        </w:rPr>
        <w:t>号）1份，证明我局对当事人的检查及抽样情况；</w:t>
      </w:r>
    </w:p>
    <w:p w14:paraId="5981DA5C">
      <w:pPr>
        <w:keepNext w:val="0"/>
        <w:keepLines w:val="0"/>
        <w:pageBreakBefore w:val="0"/>
        <w:widowControl w:val="0"/>
        <w:kinsoku/>
        <w:wordWrap/>
        <w:overflowPunct/>
        <w:topLinePunct w:val="0"/>
        <w:autoSpaceDE/>
        <w:autoSpaceDN/>
        <w:bidi w:val="0"/>
        <w:snapToGrid/>
        <w:spacing w:line="50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3.《检验鉴定委托书》（柳北市监检鉴委〔202</w:t>
      </w:r>
      <w:r>
        <w:rPr>
          <w:rFonts w:hint="default" w:ascii="Times New Roman" w:hAnsi="Times New Roman" w:eastAsia="仿宋_GB2312"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8</w:t>
      </w:r>
      <w:r>
        <w:rPr>
          <w:rFonts w:hint="default" w:ascii="Times New Roman" w:hAnsi="Times New Roman" w:eastAsia="仿宋_GB2312" w:cs="Times New Roman"/>
          <w:b w:val="0"/>
          <w:bCs w:val="0"/>
          <w:color w:val="auto"/>
          <w:sz w:val="32"/>
          <w:szCs w:val="32"/>
          <w:highlight w:val="none"/>
          <w:lang w:eastAsia="zh-CN"/>
        </w:rPr>
        <w:t xml:space="preserve">号）1份、计量器具检定/校准/检测委托（合同）单1份、柳州市计量技术测试研究所资质证书复印件1份，证明我局依法委托柳州市计量技术测试研究所对当事人经营活动中用于贸易结算的电子计价秤进行检定及柳州市计量技术测试研究所具有检定电子计价秤的资格。 </w:t>
      </w:r>
    </w:p>
    <w:p w14:paraId="2D9E19AA">
      <w:pPr>
        <w:keepNext w:val="0"/>
        <w:keepLines w:val="0"/>
        <w:pageBreakBefore w:val="0"/>
        <w:widowControl w:val="0"/>
        <w:kinsoku/>
        <w:wordWrap/>
        <w:overflowPunct/>
        <w:topLinePunct w:val="0"/>
        <w:autoSpaceDE/>
        <w:autoSpaceDN/>
        <w:bidi w:val="0"/>
        <w:snapToGrid/>
        <w:spacing w:line="50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4.《检定结果告知书》（柳北市监检鉴结〔202</w:t>
      </w:r>
      <w:r>
        <w:rPr>
          <w:rFonts w:hint="eastAsia" w:ascii="Times New Roman" w:hAnsi="Times New Roman" w:eastAsia="仿宋_GB2312"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12</w:t>
      </w:r>
      <w:r>
        <w:rPr>
          <w:rFonts w:hint="default" w:ascii="Times New Roman" w:hAnsi="Times New Roman" w:eastAsia="仿宋_GB2312" w:cs="Times New Roman"/>
          <w:b w:val="0"/>
          <w:bCs w:val="0"/>
          <w:color w:val="auto"/>
          <w:sz w:val="32"/>
          <w:szCs w:val="32"/>
          <w:highlight w:val="none"/>
          <w:lang w:eastAsia="zh-CN"/>
        </w:rPr>
        <w:t>号）和《检定结果通知书》（证书编号：HLH250100</w:t>
      </w:r>
      <w:r>
        <w:rPr>
          <w:rFonts w:hint="eastAsia" w:ascii="Times New Roman" w:hAnsi="Times New Roman" w:eastAsia="仿宋_GB2312" w:cs="Times New Roman"/>
          <w:b w:val="0"/>
          <w:bCs w:val="0"/>
          <w:color w:val="auto"/>
          <w:sz w:val="32"/>
          <w:szCs w:val="32"/>
          <w:highlight w:val="none"/>
          <w:lang w:val="en-US" w:eastAsia="zh-CN"/>
        </w:rPr>
        <w:t>29</w:t>
      </w:r>
      <w:r>
        <w:rPr>
          <w:rFonts w:hint="default" w:ascii="Times New Roman" w:hAnsi="Times New Roman" w:eastAsia="仿宋_GB2312" w:cs="Times New Roman"/>
          <w:b w:val="0"/>
          <w:bCs w:val="0"/>
          <w:color w:val="auto"/>
          <w:sz w:val="32"/>
          <w:szCs w:val="32"/>
          <w:highlight w:val="none"/>
          <w:lang w:eastAsia="zh-CN"/>
        </w:rPr>
        <w:t>）各1份，证明涉案的电子计价秤检定结论为不合格；</w:t>
      </w:r>
    </w:p>
    <w:p w14:paraId="048D9340">
      <w:pPr>
        <w:keepNext w:val="0"/>
        <w:keepLines w:val="0"/>
        <w:pageBreakBefore w:val="0"/>
        <w:widowControl w:val="0"/>
        <w:kinsoku/>
        <w:wordWrap/>
        <w:overflowPunct/>
        <w:topLinePunct w:val="0"/>
        <w:autoSpaceDE/>
        <w:autoSpaceDN/>
        <w:bidi w:val="0"/>
        <w:snapToGrid/>
        <w:spacing w:line="50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5.202</w:t>
      </w:r>
      <w:r>
        <w:rPr>
          <w:rFonts w:hint="default" w:ascii="Times New Roman" w:hAnsi="Times New Roman" w:eastAsia="仿宋_GB2312"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lang w:eastAsia="zh-CN"/>
        </w:rPr>
        <w:t>年</w:t>
      </w:r>
      <w:r>
        <w:rPr>
          <w:rFonts w:hint="default" w:ascii="Times New Roman" w:hAnsi="Times New Roman"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lang w:eastAsia="zh-CN"/>
        </w:rPr>
        <w:t>月</w:t>
      </w:r>
      <w:r>
        <w:rPr>
          <w:rFonts w:hint="default" w:ascii="Times New Roman" w:hAnsi="Times New Roman" w:eastAsia="仿宋_GB2312" w:cs="Times New Roman"/>
          <w:b w:val="0"/>
          <w:bCs w:val="0"/>
          <w:color w:val="auto"/>
          <w:sz w:val="32"/>
          <w:szCs w:val="32"/>
          <w:highlight w:val="none"/>
          <w:lang w:val="en-US" w:eastAsia="zh-CN"/>
        </w:rPr>
        <w:t>24</w:t>
      </w:r>
      <w:r>
        <w:rPr>
          <w:rFonts w:hint="default" w:ascii="Times New Roman" w:hAnsi="Times New Roman" w:eastAsia="仿宋_GB2312" w:cs="Times New Roman"/>
          <w:b w:val="0"/>
          <w:bCs w:val="0"/>
          <w:color w:val="auto"/>
          <w:sz w:val="32"/>
          <w:szCs w:val="32"/>
          <w:highlight w:val="none"/>
          <w:lang w:eastAsia="zh-CN"/>
        </w:rPr>
        <w:t>日制作的《现场笔录》1份、《实施行政强制措施决定书》（柳北市监强制〔202</w:t>
      </w:r>
      <w:r>
        <w:rPr>
          <w:rFonts w:hint="default" w:ascii="Times New Roman" w:hAnsi="Times New Roman" w:eastAsia="仿宋_GB2312"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8</w:t>
      </w:r>
      <w:r>
        <w:rPr>
          <w:rFonts w:hint="default" w:ascii="Times New Roman" w:hAnsi="Times New Roman" w:eastAsia="仿宋_GB2312" w:cs="Times New Roman"/>
          <w:b w:val="0"/>
          <w:bCs w:val="0"/>
          <w:color w:val="auto"/>
          <w:sz w:val="32"/>
          <w:szCs w:val="32"/>
          <w:highlight w:val="none"/>
          <w:lang w:eastAsia="zh-CN"/>
        </w:rPr>
        <w:t>号）1份、《财物清单》1份，证明我局对当事人在经营中使用的不合格的电子计价秤采取扣押行政强制措施；</w:t>
      </w:r>
    </w:p>
    <w:p w14:paraId="32FB7AC3">
      <w:pPr>
        <w:keepNext w:val="0"/>
        <w:keepLines w:val="0"/>
        <w:pageBreakBefore w:val="0"/>
        <w:widowControl w:val="0"/>
        <w:kinsoku/>
        <w:wordWrap/>
        <w:overflowPunct/>
        <w:topLinePunct w:val="0"/>
        <w:autoSpaceDE/>
        <w:autoSpaceDN/>
        <w:bidi w:val="0"/>
        <w:snapToGrid/>
        <w:spacing w:line="50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6. 《询问笔录》</w:t>
      </w:r>
      <w:r>
        <w:rPr>
          <w:rFonts w:hint="eastAsia" w:ascii="仿宋_GB2312" w:hAnsi="Times New Roman" w:eastAsia="仿宋_GB2312" w:cs="仿宋_GB2312"/>
          <w:color w:val="auto"/>
          <w:sz w:val="32"/>
          <w:highlight w:val="none"/>
          <w:u w:val="none"/>
          <w:lang w:val="en-US" w:eastAsia="zh-CN"/>
        </w:rPr>
        <w:t>（2025年6月28日）</w:t>
      </w:r>
      <w:r>
        <w:rPr>
          <w:rFonts w:hint="default" w:ascii="Times New Roman" w:hAnsi="Times New Roman" w:eastAsia="仿宋_GB2312" w:cs="Times New Roman"/>
          <w:b w:val="0"/>
          <w:bCs w:val="0"/>
          <w:color w:val="auto"/>
          <w:sz w:val="32"/>
          <w:szCs w:val="32"/>
          <w:highlight w:val="none"/>
          <w:lang w:eastAsia="zh-CN"/>
        </w:rPr>
        <w:t>1份，证明当事人存在使用检定不合格的电子计价秤的事实；</w:t>
      </w:r>
    </w:p>
    <w:p w14:paraId="45AB914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Times New Roman" w:eastAsia="仿宋_GB2312" w:cs="仿宋_GB2312"/>
          <w:color w:val="auto"/>
          <w:sz w:val="32"/>
          <w:u w:val="none"/>
          <w:lang w:val="en-US" w:eastAsia="zh-CN"/>
        </w:rPr>
      </w:pPr>
      <w:r>
        <w:rPr>
          <w:rFonts w:hint="default" w:ascii="Times New Roman" w:hAnsi="Times New Roman" w:eastAsia="仿宋_GB2312" w:cs="Times New Roman"/>
          <w:b w:val="0"/>
          <w:bCs w:val="0"/>
          <w:color w:val="auto"/>
          <w:sz w:val="32"/>
          <w:szCs w:val="32"/>
          <w:highlight w:val="none"/>
          <w:lang w:eastAsia="zh-CN"/>
        </w:rPr>
        <w:t xml:space="preserve"> 以上</w:t>
      </w:r>
      <w:r>
        <w:rPr>
          <w:rFonts w:hint="eastAsia" w:ascii="仿宋_GB2312" w:hAnsi="Times New Roman" w:eastAsia="仿宋_GB2312" w:cs="仿宋_GB2312"/>
          <w:color w:val="auto"/>
          <w:sz w:val="32"/>
          <w:highlight w:val="none"/>
          <w:u w:val="none"/>
          <w:lang w:val="en-US" w:eastAsia="zh-CN"/>
        </w:rPr>
        <w:t>1、2、4、5、6</w:t>
      </w:r>
      <w:r>
        <w:rPr>
          <w:rFonts w:hint="default" w:ascii="Times New Roman" w:hAnsi="Times New Roman" w:eastAsia="仿宋_GB2312" w:cs="Times New Roman"/>
          <w:b w:val="0"/>
          <w:bCs w:val="0"/>
          <w:color w:val="auto"/>
          <w:sz w:val="32"/>
          <w:szCs w:val="32"/>
          <w:highlight w:val="none"/>
          <w:lang w:eastAsia="zh-CN"/>
        </w:rPr>
        <w:t>证据均由当事人签名确认。</w:t>
      </w:r>
    </w:p>
    <w:p w14:paraId="3B69EA5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2025年7月11日我局向当事人送达了《行政处罚告知书》（柳北市监罚告〔2025〕112号），告知当事人我局拟作出行政处罚的事实、理由、依据、处罚内容及享有的权利。当事人在法定期限内未提出陈述、申辩。</w:t>
      </w:r>
    </w:p>
    <w:p w14:paraId="0C3AE3B9">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Times New Roman" w:eastAsia="仿宋_GB2312" w:cs="仿宋_GB2312"/>
          <w:b w:val="0"/>
          <w:bCs w:val="0"/>
          <w:color w:val="auto"/>
          <w:sz w:val="32"/>
          <w:u w:val="none"/>
          <w:lang w:val="en-US" w:eastAsia="zh-CN"/>
        </w:rPr>
      </w:pPr>
      <w:r>
        <w:rPr>
          <w:rFonts w:hint="eastAsia" w:ascii="仿宋_GB2312" w:hAnsi="Times New Roman" w:eastAsia="仿宋_GB2312" w:cs="仿宋_GB2312"/>
          <w:b w:val="0"/>
          <w:bCs w:val="0"/>
          <w:color w:val="auto"/>
          <w:sz w:val="32"/>
          <w:u w:val="none"/>
          <w:lang w:val="en-US" w:eastAsia="zh-CN"/>
        </w:rPr>
        <w:t>当事人的上述行为，违反了《中华人民共和国计量法实施细则》第二十二条的规定，属于使用不合格的计量器具的行为。</w:t>
      </w:r>
    </w:p>
    <w:p w14:paraId="0CB5F22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依据《中华人民共和国计量法实施细则》第四十六条、《中华人民共和国行政处罚法》第二十八条第一款的规定，我局决定责令当事人立即改正上述违法行为，并作如下行政处罚：</w:t>
      </w:r>
    </w:p>
    <w:p w14:paraId="4E5924C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1.没收上述检定不合格</w:t>
      </w:r>
      <w:r>
        <w:rPr>
          <w:rFonts w:hint="default" w:ascii="Times New Roman" w:hAnsi="Times New Roman" w:eastAsia="仿宋_GB2312" w:cs="Times New Roman"/>
          <w:color w:val="auto"/>
          <w:sz w:val="32"/>
          <w:szCs w:val="32"/>
          <w:u w:val="none"/>
          <w:lang w:eastAsia="zh-CN"/>
        </w:rPr>
        <w:t>的</w:t>
      </w:r>
      <w:r>
        <w:rPr>
          <w:rFonts w:hint="default" w:ascii="Times New Roman" w:hAnsi="Times New Roman" w:eastAsia="仿宋_GB2312" w:cs="Times New Roman"/>
          <w:color w:val="auto"/>
          <w:sz w:val="32"/>
          <w:szCs w:val="32"/>
          <w:u w:val="none"/>
        </w:rPr>
        <w:t>电子计价秤</w:t>
      </w:r>
      <w:r>
        <w:rPr>
          <w:rFonts w:hint="eastAsia" w:ascii="Times New Roman" w:hAnsi="Times New Roman" w:eastAsia="仿宋_GB2312" w:cs="Times New Roman"/>
          <w:color w:val="auto"/>
          <w:sz w:val="32"/>
          <w:szCs w:val="32"/>
          <w:u w:val="none"/>
          <w:lang w:eastAsia="zh-CN"/>
        </w:rPr>
        <w:t>（</w:t>
      </w:r>
      <w:r>
        <w:rPr>
          <w:rFonts w:hint="eastAsia" w:ascii="仿宋_GB2312" w:hAnsi="仿宋" w:eastAsia="仿宋_GB2312" w:cs="仿宋"/>
          <w:color w:val="auto"/>
          <w:sz w:val="32"/>
          <w:szCs w:val="32"/>
          <w:u w:val="none"/>
          <w:lang w:val="en-US" w:eastAsia="zh-CN"/>
        </w:rPr>
        <w:t>武义县金宇衡器有限公司，出厂编号：28996</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1台；</w:t>
      </w:r>
    </w:p>
    <w:p w14:paraId="15B0C08C">
      <w:pPr>
        <w:spacing w:line="520" w:lineRule="exact"/>
        <w:ind w:firstLine="640"/>
        <w:rPr>
          <w:rFonts w:hint="eastAsia" w:ascii="仿宋_GB2312" w:hAnsi="Times New Roman" w:eastAsia="仿宋_GB2312" w:cs="仿宋_GB2312"/>
          <w:color w:val="auto"/>
          <w:sz w:val="32"/>
          <w:u w:val="none"/>
          <w:lang w:val="en-US" w:eastAsia="zh-CN"/>
        </w:rPr>
      </w:pPr>
      <w:r>
        <w:rPr>
          <w:rFonts w:hint="default" w:ascii="Times New Roman" w:hAnsi="Times New Roman" w:eastAsia="仿宋_GB2312" w:cs="Times New Roman"/>
          <w:color w:val="auto"/>
          <w:sz w:val="32"/>
          <w:szCs w:val="32"/>
          <w:u w:val="none"/>
        </w:rPr>
        <w:t>2.罚款人民币壹仟元整（¥1</w:t>
      </w:r>
      <w:r>
        <w:rPr>
          <w:rFonts w:hint="eastAsia" w:ascii="Times New Roman" w:hAnsi="Times New Roman" w:eastAsia="仿宋_GB2312" w:cs="Times New Roman"/>
          <w:color w:val="auto"/>
          <w:sz w:val="32"/>
          <w:szCs w:val="32"/>
          <w:u w:val="none"/>
          <w:lang w:val="en-US" w:eastAsia="zh-CN"/>
        </w:rPr>
        <w:t>0</w:t>
      </w:r>
      <w:r>
        <w:rPr>
          <w:rFonts w:hint="default" w:ascii="Times New Roman" w:hAnsi="Times New Roman" w:eastAsia="仿宋_GB2312" w:cs="Times New Roman"/>
          <w:color w:val="auto"/>
          <w:sz w:val="32"/>
          <w:szCs w:val="32"/>
          <w:u w:val="none"/>
        </w:rPr>
        <w:t>00.00）。</w:t>
      </w:r>
    </w:p>
    <w:p w14:paraId="36CF22A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当事人应当自收到本行政处罚决定书之日起十五日内，凭《广西壮族自治区非税收入电子缴款通知书》到中国建设银行缴纳罚款。</w:t>
      </w:r>
      <w:r>
        <w:rPr>
          <w:rFonts w:hint="eastAsia" w:ascii="仿宋_GB2312" w:hAnsi="仿宋_GB2312" w:eastAsia="仿宋_GB2312" w:cs="仿宋_GB2312"/>
          <w:color w:val="auto"/>
          <w:sz w:val="32"/>
          <w:szCs w:val="32"/>
          <w:u w:val="none"/>
          <w:lang w:eastAsia="zh-CN"/>
        </w:rPr>
        <w:t>逾</w:t>
      </w:r>
      <w:r>
        <w:rPr>
          <w:rFonts w:hint="eastAsia" w:ascii="仿宋_GB2312" w:hAnsi="仿宋_GB2312" w:eastAsia="仿宋_GB2312" w:cs="仿宋_GB2312"/>
          <w:color w:val="auto"/>
          <w:sz w:val="32"/>
          <w:szCs w:val="32"/>
          <w:u w:val="none"/>
        </w:rPr>
        <w:t>期不缴纳罚款的，依据《中华人民共和国行政处罚法》</w:t>
      </w:r>
      <w:r>
        <w:rPr>
          <w:rFonts w:hint="eastAsia" w:ascii="仿宋_GB2312" w:hAnsi="仿宋_GB2312" w:eastAsia="仿宋_GB2312" w:cs="仿宋_GB2312"/>
          <w:color w:val="auto"/>
          <w:kern w:val="0"/>
          <w:sz w:val="32"/>
          <w:szCs w:val="32"/>
          <w:u w:val="none"/>
          <w:lang w:val="en-US" w:eastAsia="zh-CN" w:bidi="ar"/>
        </w:rPr>
        <w:t>第七十二条</w:t>
      </w:r>
      <w:r>
        <w:rPr>
          <w:rFonts w:hint="eastAsia" w:ascii="仿宋_GB2312" w:hAnsi="仿宋_GB2312" w:eastAsia="仿宋_GB2312" w:cs="仿宋_GB2312"/>
          <w:color w:val="auto"/>
          <w:sz w:val="32"/>
          <w:szCs w:val="32"/>
          <w:u w:val="none"/>
        </w:rPr>
        <w:t>的规定，我局将每日按罚款数额的百分之三加处罚款，并依法申请人民法院强制执行。</w:t>
      </w:r>
    </w:p>
    <w:p w14:paraId="4E6FF51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当事人如不服本行政处罚决定，可以在接到本行政处罚决定书之日起六十日内</w:t>
      </w:r>
      <w:r>
        <w:rPr>
          <w:rFonts w:hint="eastAsia" w:ascii="仿宋_GB2312" w:hAnsi="仿宋_GB2312" w:eastAsia="仿宋_GB2312" w:cs="仿宋_GB2312"/>
          <w:color w:val="auto"/>
          <w:sz w:val="32"/>
          <w:szCs w:val="32"/>
          <w:u w:val="none"/>
          <w:lang w:eastAsia="zh-CN"/>
        </w:rPr>
        <w:t>向</w:t>
      </w:r>
      <w:r>
        <w:rPr>
          <w:rFonts w:hint="eastAsia" w:ascii="仿宋_GB2312" w:hAnsi="仿宋_GB2312" w:eastAsia="仿宋_GB2312" w:cs="仿宋_GB2312"/>
          <w:color w:val="auto"/>
          <w:sz w:val="32"/>
          <w:szCs w:val="32"/>
          <w:u w:val="none"/>
        </w:rPr>
        <w:t>柳州市柳北区人民政府申请行政复议；也可以在</w:t>
      </w:r>
      <w:r>
        <w:rPr>
          <w:rFonts w:hint="eastAsia" w:ascii="仿宋_GB2312" w:hAnsi="仿宋_GB2312" w:eastAsia="仿宋_GB2312" w:cs="仿宋_GB2312"/>
          <w:color w:val="auto"/>
          <w:sz w:val="32"/>
          <w:szCs w:val="32"/>
          <w:u w:val="none"/>
          <w:lang w:eastAsia="zh-CN"/>
        </w:rPr>
        <w:t>十五日</w:t>
      </w:r>
      <w:r>
        <w:rPr>
          <w:rFonts w:hint="eastAsia" w:ascii="仿宋_GB2312" w:hAnsi="仿宋_GB2312" w:eastAsia="仿宋_GB2312" w:cs="仿宋_GB2312"/>
          <w:color w:val="auto"/>
          <w:sz w:val="32"/>
          <w:szCs w:val="32"/>
          <w:u w:val="none"/>
        </w:rPr>
        <w:t>内依法向柳州市柳</w:t>
      </w:r>
      <w:r>
        <w:rPr>
          <w:rFonts w:hint="eastAsia" w:ascii="仿宋_GB2312" w:hAnsi="仿宋_GB2312" w:eastAsia="仿宋_GB2312" w:cs="仿宋_GB2312"/>
          <w:color w:val="auto"/>
          <w:sz w:val="32"/>
          <w:szCs w:val="32"/>
          <w:u w:val="none"/>
          <w:lang w:eastAsia="zh-CN"/>
        </w:rPr>
        <w:t>南</w:t>
      </w:r>
      <w:r>
        <w:rPr>
          <w:rFonts w:hint="eastAsia" w:ascii="仿宋_GB2312" w:hAnsi="仿宋_GB2312" w:eastAsia="仿宋_GB2312" w:cs="仿宋_GB2312"/>
          <w:color w:val="auto"/>
          <w:sz w:val="32"/>
          <w:szCs w:val="32"/>
          <w:u w:val="none"/>
        </w:rPr>
        <w:t>区人民法院提起行政诉讼。申请行政复议或者提起行政诉讼期间，行政处罚不停止执行。</w:t>
      </w:r>
    </w:p>
    <w:p w14:paraId="7E6FBA68">
      <w:pPr>
        <w:keepNext w:val="0"/>
        <w:keepLines w:val="0"/>
        <w:pageBreakBefore w:val="0"/>
        <w:widowControl/>
        <w:kinsoku/>
        <w:wordWrap/>
        <w:overflowPunct/>
        <w:topLinePunct w:val="0"/>
        <w:bidi w:val="0"/>
        <w:snapToGrid w:val="0"/>
        <w:spacing w:line="600" w:lineRule="exact"/>
        <w:jc w:val="left"/>
        <w:rPr>
          <w:rFonts w:ascii="Times New Roman" w:hAnsi="Times New Roman" w:eastAsia="仿宋_GB2312" w:cs="仿宋_GB2312"/>
          <w:color w:val="auto"/>
          <w:sz w:val="32"/>
          <w:szCs w:val="32"/>
        </w:rPr>
      </w:pPr>
    </w:p>
    <w:p w14:paraId="19A08723">
      <w:pPr>
        <w:pStyle w:val="8"/>
        <w:rPr>
          <w:rFonts w:ascii="Times New Roman" w:hAnsi="Times New Roman" w:eastAsia="仿宋_GB2312" w:cs="仿宋_GB2312"/>
          <w:color w:val="auto"/>
          <w:sz w:val="32"/>
          <w:szCs w:val="32"/>
        </w:rPr>
      </w:pPr>
    </w:p>
    <w:p w14:paraId="2D317986">
      <w:pPr>
        <w:keepNext w:val="0"/>
        <w:keepLines w:val="0"/>
        <w:pageBreakBefore w:val="0"/>
        <w:kinsoku/>
        <w:wordWrap/>
        <w:overflowPunct/>
        <w:topLinePunct w:val="0"/>
        <w:bidi w:val="0"/>
        <w:spacing w:line="600" w:lineRule="exact"/>
        <w:ind w:right="640" w:firstLine="601"/>
        <w:jc w:val="right"/>
        <w:rPr>
          <w:rFonts w:ascii="Times New Roman" w:hAnsi="Times New Roman" w:eastAsia="仿宋_GB2312" w:cs="仿宋"/>
          <w:color w:val="auto"/>
          <w:sz w:val="32"/>
          <w:szCs w:val="32"/>
        </w:rPr>
      </w:pPr>
      <w:bookmarkStart w:id="4" w:name="DYNAMIC—DWXX—tAj_dwmc—2"/>
      <w:r>
        <w:rPr>
          <w:rFonts w:hint="eastAsia" w:ascii="Times New Roman" w:hAnsi="Times New Roman" w:eastAsia="仿宋_GB2312" w:cs="仿宋"/>
          <w:color w:val="auto"/>
          <w:sz w:val="32"/>
          <w:lang w:val="en-US" w:eastAsia="zh-CN"/>
        </w:rPr>
        <w:t xml:space="preserve">  </w:t>
      </w:r>
      <w:r>
        <w:rPr>
          <w:rFonts w:hint="eastAsia" w:ascii="Times New Roman" w:hAnsi="Times New Roman" w:eastAsia="仿宋_GB2312" w:cs="仿宋"/>
          <w:color w:val="auto"/>
          <w:sz w:val="32"/>
          <w:lang w:eastAsia="zh-CN"/>
        </w:rPr>
        <w:t>柳州市</w:t>
      </w:r>
      <w:r>
        <w:rPr>
          <w:rFonts w:hint="eastAsia" w:ascii="Times New Roman" w:hAnsi="Times New Roman" w:eastAsia="仿宋_GB2312" w:cs="仿宋"/>
          <w:color w:val="auto"/>
          <w:sz w:val="32"/>
        </w:rPr>
        <w:t>柳北区市场监督管理局</w:t>
      </w:r>
      <w:bookmarkEnd w:id="4"/>
    </w:p>
    <w:p w14:paraId="47BDDD68">
      <w:pPr>
        <w:pStyle w:val="8"/>
        <w:keepNext w:val="0"/>
        <w:keepLines w:val="0"/>
        <w:pageBreakBefore w:val="0"/>
        <w:kinsoku/>
        <w:wordWrap/>
        <w:overflowPunct/>
        <w:topLinePunct w:val="0"/>
        <w:bidi w:val="0"/>
        <w:spacing w:line="600" w:lineRule="exact"/>
        <w:ind w:firstLine="5120" w:firstLineChars="1600"/>
        <w:rPr>
          <w:rFonts w:hint="eastAsia" w:ascii="黑体" w:hAnsi="黑体" w:eastAsia="黑体" w:cs="黑体"/>
          <w:b w:val="0"/>
          <w:bCs w:val="0"/>
          <w:color w:val="auto"/>
          <w:w w:val="98"/>
          <w:sz w:val="32"/>
          <w:szCs w:val="32"/>
          <w:u w:val="none"/>
          <w:lang w:eastAsia="zh-CN"/>
        </w:rPr>
      </w:pPr>
      <w:bookmarkStart w:id="5" w:name="CALCULATE—TIME—NOW"/>
      <w:r>
        <w:rPr>
          <w:rFonts w:hint="eastAsia" w:ascii="仿宋_GB2312" w:hAnsi="Times New Roman" w:eastAsia="仿宋_GB2312" w:cs="仿宋"/>
          <w:color w:val="auto"/>
          <w:sz w:val="32"/>
        </w:rPr>
        <w:t>2025年0</w:t>
      </w:r>
      <w:r>
        <w:rPr>
          <w:rFonts w:hint="eastAsia" w:hAnsi="Times New Roman" w:cs="仿宋"/>
          <w:color w:val="auto"/>
          <w:sz w:val="32"/>
          <w:lang w:val="en-US" w:eastAsia="zh-CN"/>
        </w:rPr>
        <w:t>7</w:t>
      </w:r>
      <w:r>
        <w:rPr>
          <w:rFonts w:hint="eastAsia" w:ascii="仿宋_GB2312" w:hAnsi="Times New Roman" w:eastAsia="仿宋_GB2312" w:cs="仿宋"/>
          <w:color w:val="auto"/>
          <w:sz w:val="32"/>
        </w:rPr>
        <w:t>月</w:t>
      </w:r>
      <w:r>
        <w:rPr>
          <w:rFonts w:hint="eastAsia" w:hAnsi="Times New Roman" w:cs="仿宋"/>
          <w:color w:val="auto"/>
          <w:sz w:val="32"/>
          <w:lang w:val="en-US" w:eastAsia="zh-CN"/>
        </w:rPr>
        <w:t>25</w:t>
      </w:r>
      <w:bookmarkStart w:id="6" w:name="_GoBack"/>
      <w:bookmarkEnd w:id="6"/>
      <w:r>
        <w:rPr>
          <w:rFonts w:hint="eastAsia" w:ascii="仿宋_GB2312" w:hAnsi="Times New Roman" w:eastAsia="仿宋_GB2312" w:cs="仿宋"/>
          <w:color w:val="auto"/>
          <w:sz w:val="32"/>
        </w:rPr>
        <w:t>日</w:t>
      </w:r>
      <w:bookmarkEnd w:id="5"/>
    </w:p>
    <w:p w14:paraId="712F05F2">
      <w:pPr>
        <w:pStyle w:val="8"/>
        <w:rPr>
          <w:rFonts w:hint="eastAsia" w:ascii="黑体" w:hAnsi="黑体" w:eastAsia="黑体" w:cs="黑体"/>
          <w:b w:val="0"/>
          <w:bCs w:val="0"/>
          <w:color w:val="auto"/>
          <w:w w:val="98"/>
          <w:sz w:val="32"/>
          <w:szCs w:val="32"/>
          <w:u w:val="none"/>
          <w:lang w:eastAsia="zh-CN"/>
        </w:rPr>
      </w:pPr>
    </w:p>
    <w:p w14:paraId="1378CB05">
      <w:pPr>
        <w:pStyle w:val="8"/>
        <w:rPr>
          <w:rFonts w:hint="eastAsia" w:ascii="黑体" w:hAnsi="黑体" w:eastAsia="黑体" w:cs="黑体"/>
          <w:b w:val="0"/>
          <w:bCs w:val="0"/>
          <w:color w:val="auto"/>
          <w:w w:val="98"/>
          <w:sz w:val="32"/>
          <w:szCs w:val="32"/>
          <w:u w:val="none"/>
          <w:lang w:eastAsia="zh-CN"/>
        </w:rPr>
      </w:pPr>
    </w:p>
    <w:p w14:paraId="14AE8251">
      <w:pPr>
        <w:pStyle w:val="8"/>
        <w:rPr>
          <w:rFonts w:hint="eastAsia" w:ascii="黑体" w:hAnsi="黑体" w:eastAsia="黑体" w:cs="黑体"/>
          <w:b w:val="0"/>
          <w:bCs w:val="0"/>
          <w:color w:val="auto"/>
          <w:w w:val="98"/>
          <w:sz w:val="32"/>
          <w:szCs w:val="32"/>
          <w:u w:val="none"/>
          <w:lang w:eastAsia="zh-CN"/>
        </w:rPr>
      </w:pPr>
    </w:p>
    <w:p w14:paraId="3CBA6F20">
      <w:pPr>
        <w:pStyle w:val="8"/>
        <w:rPr>
          <w:rFonts w:hint="eastAsia" w:ascii="黑体" w:hAnsi="黑体" w:eastAsia="黑体" w:cs="黑体"/>
          <w:b w:val="0"/>
          <w:bCs w:val="0"/>
          <w:color w:val="auto"/>
          <w:w w:val="98"/>
          <w:sz w:val="32"/>
          <w:szCs w:val="32"/>
          <w:u w:val="none"/>
          <w:lang w:eastAsia="zh-CN"/>
        </w:rPr>
      </w:pPr>
    </w:p>
    <w:p w14:paraId="1EF9BAFD">
      <w:pPr>
        <w:keepNext w:val="0"/>
        <w:keepLines w:val="0"/>
        <w:pageBreakBefore w:val="0"/>
        <w:widowControl w:val="0"/>
        <w:kinsoku/>
        <w:wordWrap/>
        <w:overflowPunct/>
        <w:topLinePunct w:val="0"/>
        <w:autoSpaceDE/>
        <w:autoSpaceDN/>
        <w:bidi w:val="0"/>
        <w:adjustRightInd/>
        <w:snapToGrid/>
        <w:spacing w:line="600" w:lineRule="exact"/>
        <w:ind w:left="0" w:leftChars="0" w:right="-105" w:rightChars="-5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w w:val="98"/>
          <w:sz w:val="32"/>
          <w:szCs w:val="32"/>
          <w:u w:val="none"/>
          <w:lang w:eastAsia="zh-CN"/>
        </w:rPr>
        <w:t>（市场监督管理部门将依法向社会公开行政处罚决定信息）</w:t>
      </w:r>
    </w:p>
    <w:p w14:paraId="1C287DE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color w:val="auto"/>
        </w:rPr>
      </w:pPr>
      <w:r>
        <w:rPr>
          <w:color w:val="auto"/>
          <w:sz w:val="32"/>
          <w:u w:val="none"/>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75565</wp:posOffset>
                </wp:positionV>
                <wp:extent cx="550545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054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pt;margin-top:5.95pt;height:0.05pt;width:433.5pt;z-index:251659264;mso-width-relative:page;mso-height-relative:page;" filled="f" stroked="t" coordsize="21600,21600" o:gfxdata="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wDyi0wAAAAcBAAAPAAAAAAAAAAEAIAAAACIAAABkcnMvZG93bnJldi54bWxQSwEC&#10;FAAUAAAACACHTuJAsRbMDPkBAAD0AwAADgAAAAAAAAABACAAAAAiAQAAZHJzL2Uyb0RvYy54bWxQ&#10;SwUGAAAAAAYABgBZAQAAjQ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32"/>
          <w:szCs w:val="32"/>
          <w:u w:val="none"/>
          <w:lang w:eastAsia="zh-CN"/>
        </w:rPr>
        <w:t>本文书一式三份，一份送达，一份归档</w:t>
      </w:r>
      <w:r>
        <w:rPr>
          <w:rFonts w:hint="eastAsia" w:ascii="仿宋_GB2312" w:hAnsi="仿宋_GB2312" w:eastAsia="仿宋_GB2312" w:cs="仿宋_GB2312"/>
          <w:color w:val="auto"/>
          <w:sz w:val="32"/>
          <w:szCs w:val="32"/>
          <w:u w:val="none"/>
        </w:rPr>
        <w:t>，一份</w:t>
      </w:r>
      <w:r>
        <w:rPr>
          <w:rFonts w:hint="eastAsia" w:ascii="仿宋_GB2312" w:hAnsi="仿宋_GB2312" w:eastAsia="仿宋_GB2312" w:cs="仿宋_GB2312"/>
          <w:color w:val="auto"/>
          <w:sz w:val="32"/>
          <w:szCs w:val="32"/>
          <w:u w:val="none"/>
          <w:lang w:eastAsia="zh-CN"/>
        </w:rPr>
        <w:t>办案机构</w:t>
      </w:r>
      <w:r>
        <w:rPr>
          <w:rFonts w:hint="eastAsia" w:ascii="仿宋_GB2312" w:hAnsi="仿宋_GB2312" w:eastAsia="仿宋_GB2312" w:cs="仿宋_GB2312"/>
          <w:color w:val="auto"/>
          <w:sz w:val="32"/>
          <w:szCs w:val="32"/>
          <w:u w:val="none"/>
        </w:rPr>
        <w:t>留存</w:t>
      </w:r>
      <w:r>
        <w:rPr>
          <w:rFonts w:hint="eastAsia" w:ascii="仿宋_GB2312" w:hAnsi="仿宋_GB2312" w:eastAsia="仿宋_GB2312" w:cs="仿宋_GB2312"/>
          <w:color w:val="auto"/>
          <w:sz w:val="32"/>
          <w:szCs w:val="32"/>
          <w:u w:val="none"/>
          <w:lang w:eastAsia="zh-CN"/>
        </w:rPr>
        <w:t>。</w:t>
      </w:r>
    </w:p>
    <w:sectPr>
      <w:footerReference r:id="rId3" w:type="default"/>
      <w:pgSz w:w="11906" w:h="16838"/>
      <w:pgMar w:top="1440" w:right="1746" w:bottom="1440" w:left="17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E8E62">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53CCFA">
                          <w:pPr>
                            <w:pStyle w:val="4"/>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53CCFA">
                    <w:pPr>
                      <w:pStyle w:val="4"/>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A"/>
    <w:multiLevelType w:val="multilevel"/>
    <w:tmpl w:val="0000000A"/>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ZWRjMDlmNjczOThjYjJkYzFhNjVlNjUxZDAyOTIifQ=="/>
    <w:docVar w:name="KSO_WPS_MARK_KEY" w:val="e0e0a264-4759-4521-88aa-fd686ed44552"/>
  </w:docVars>
  <w:rsids>
    <w:rsidRoot w:val="5BA419F7"/>
    <w:rsid w:val="00193C35"/>
    <w:rsid w:val="0032134F"/>
    <w:rsid w:val="008724AB"/>
    <w:rsid w:val="00B70E3B"/>
    <w:rsid w:val="00E041FD"/>
    <w:rsid w:val="011C07DF"/>
    <w:rsid w:val="011D4062"/>
    <w:rsid w:val="0183728A"/>
    <w:rsid w:val="029D54FF"/>
    <w:rsid w:val="02B83402"/>
    <w:rsid w:val="046837CA"/>
    <w:rsid w:val="04BA1C3F"/>
    <w:rsid w:val="04CD463F"/>
    <w:rsid w:val="04D74A36"/>
    <w:rsid w:val="04DD3789"/>
    <w:rsid w:val="04FA4431"/>
    <w:rsid w:val="062E1218"/>
    <w:rsid w:val="06BAE61F"/>
    <w:rsid w:val="071C7669"/>
    <w:rsid w:val="072E2862"/>
    <w:rsid w:val="0776795A"/>
    <w:rsid w:val="07A73C1C"/>
    <w:rsid w:val="07DD40F6"/>
    <w:rsid w:val="07FE68EB"/>
    <w:rsid w:val="08076446"/>
    <w:rsid w:val="080E48C5"/>
    <w:rsid w:val="08365B64"/>
    <w:rsid w:val="08747AEC"/>
    <w:rsid w:val="08F23066"/>
    <w:rsid w:val="098E3ABC"/>
    <w:rsid w:val="09A61163"/>
    <w:rsid w:val="09F6548B"/>
    <w:rsid w:val="0A0B6909"/>
    <w:rsid w:val="0A0C438A"/>
    <w:rsid w:val="0A721B30"/>
    <w:rsid w:val="0AA44133"/>
    <w:rsid w:val="0B22091D"/>
    <w:rsid w:val="0B9D06F5"/>
    <w:rsid w:val="0C0A63CF"/>
    <w:rsid w:val="0C7015F6"/>
    <w:rsid w:val="0CA33BCC"/>
    <w:rsid w:val="0CF71776"/>
    <w:rsid w:val="0D096D81"/>
    <w:rsid w:val="0D3861B5"/>
    <w:rsid w:val="0DC444A6"/>
    <w:rsid w:val="0E937842"/>
    <w:rsid w:val="0FA12732"/>
    <w:rsid w:val="0FFFE86C"/>
    <w:rsid w:val="103E22C5"/>
    <w:rsid w:val="106C3100"/>
    <w:rsid w:val="10F26BDC"/>
    <w:rsid w:val="110F7D08"/>
    <w:rsid w:val="1184614B"/>
    <w:rsid w:val="11A021F8"/>
    <w:rsid w:val="12516798"/>
    <w:rsid w:val="1350279A"/>
    <w:rsid w:val="139E1CBE"/>
    <w:rsid w:val="14203063"/>
    <w:rsid w:val="143E1E38"/>
    <w:rsid w:val="14F66BD6"/>
    <w:rsid w:val="152E563E"/>
    <w:rsid w:val="15360ADA"/>
    <w:rsid w:val="1537655C"/>
    <w:rsid w:val="15B93156"/>
    <w:rsid w:val="165035D4"/>
    <w:rsid w:val="1704763E"/>
    <w:rsid w:val="173405A0"/>
    <w:rsid w:val="17B865FB"/>
    <w:rsid w:val="18325353"/>
    <w:rsid w:val="188A30D0"/>
    <w:rsid w:val="18B229B2"/>
    <w:rsid w:val="18C8188B"/>
    <w:rsid w:val="18E81E64"/>
    <w:rsid w:val="19FE4517"/>
    <w:rsid w:val="1A5C705F"/>
    <w:rsid w:val="1A6516DC"/>
    <w:rsid w:val="1AAC5768"/>
    <w:rsid w:val="1ABE5DA1"/>
    <w:rsid w:val="1B317B2B"/>
    <w:rsid w:val="1B7802A0"/>
    <w:rsid w:val="1BB60C90"/>
    <w:rsid w:val="1BC65F68"/>
    <w:rsid w:val="1BFD04F9"/>
    <w:rsid w:val="1C0E209A"/>
    <w:rsid w:val="1C6411A2"/>
    <w:rsid w:val="1C67350C"/>
    <w:rsid w:val="1E2525B5"/>
    <w:rsid w:val="1E620C67"/>
    <w:rsid w:val="1EE03AB4"/>
    <w:rsid w:val="1F2B5D07"/>
    <w:rsid w:val="1F94485C"/>
    <w:rsid w:val="1FD31F15"/>
    <w:rsid w:val="20D648C2"/>
    <w:rsid w:val="212C10FB"/>
    <w:rsid w:val="21C40374"/>
    <w:rsid w:val="21DB6F1A"/>
    <w:rsid w:val="225F01F3"/>
    <w:rsid w:val="22F55C75"/>
    <w:rsid w:val="23061C85"/>
    <w:rsid w:val="23913DE8"/>
    <w:rsid w:val="24346E74"/>
    <w:rsid w:val="24626694"/>
    <w:rsid w:val="249A209C"/>
    <w:rsid w:val="24E75A37"/>
    <w:rsid w:val="258D6CE0"/>
    <w:rsid w:val="259D070D"/>
    <w:rsid w:val="26761D5F"/>
    <w:rsid w:val="276E08C0"/>
    <w:rsid w:val="278D58F1"/>
    <w:rsid w:val="27F4659B"/>
    <w:rsid w:val="28C049EA"/>
    <w:rsid w:val="28ED236C"/>
    <w:rsid w:val="29F205DF"/>
    <w:rsid w:val="2A9F8649"/>
    <w:rsid w:val="2B101A98"/>
    <w:rsid w:val="2B1B3EFC"/>
    <w:rsid w:val="2BF15B26"/>
    <w:rsid w:val="2CBD3F75"/>
    <w:rsid w:val="2CC77EF2"/>
    <w:rsid w:val="2CCF5C64"/>
    <w:rsid w:val="2CEA3815"/>
    <w:rsid w:val="2D23171B"/>
    <w:rsid w:val="2DE10173"/>
    <w:rsid w:val="2F2111E1"/>
    <w:rsid w:val="2F327E79"/>
    <w:rsid w:val="2F500EBE"/>
    <w:rsid w:val="2F5E1045"/>
    <w:rsid w:val="2F7CE1EF"/>
    <w:rsid w:val="2FE8594F"/>
    <w:rsid w:val="2FED7630"/>
    <w:rsid w:val="300D096E"/>
    <w:rsid w:val="3015257C"/>
    <w:rsid w:val="30BA5A7F"/>
    <w:rsid w:val="30DB5683"/>
    <w:rsid w:val="31863ECE"/>
    <w:rsid w:val="31EB1674"/>
    <w:rsid w:val="31EC70F5"/>
    <w:rsid w:val="322F416D"/>
    <w:rsid w:val="32B85544"/>
    <w:rsid w:val="32F3303B"/>
    <w:rsid w:val="330E67C6"/>
    <w:rsid w:val="33835F12"/>
    <w:rsid w:val="34BD4037"/>
    <w:rsid w:val="351D0231"/>
    <w:rsid w:val="353B4E25"/>
    <w:rsid w:val="3585615B"/>
    <w:rsid w:val="35E96681"/>
    <w:rsid w:val="361C25FD"/>
    <w:rsid w:val="364F18A8"/>
    <w:rsid w:val="368E5656"/>
    <w:rsid w:val="36B54AD0"/>
    <w:rsid w:val="36D9180C"/>
    <w:rsid w:val="377FBB27"/>
    <w:rsid w:val="378D0FB6"/>
    <w:rsid w:val="37E706C5"/>
    <w:rsid w:val="37F16547"/>
    <w:rsid w:val="384E136E"/>
    <w:rsid w:val="386851CE"/>
    <w:rsid w:val="38B44595"/>
    <w:rsid w:val="38B63DA7"/>
    <w:rsid w:val="38E27632"/>
    <w:rsid w:val="39191D3B"/>
    <w:rsid w:val="39462917"/>
    <w:rsid w:val="397F4F63"/>
    <w:rsid w:val="39E65C0C"/>
    <w:rsid w:val="3A4E178D"/>
    <w:rsid w:val="3A883217"/>
    <w:rsid w:val="3B541666"/>
    <w:rsid w:val="3BF97ECA"/>
    <w:rsid w:val="3C2965F0"/>
    <w:rsid w:val="3C4A2E77"/>
    <w:rsid w:val="3D217658"/>
    <w:rsid w:val="3D7C44EE"/>
    <w:rsid w:val="3DE21C94"/>
    <w:rsid w:val="3E49293D"/>
    <w:rsid w:val="3E62579A"/>
    <w:rsid w:val="3EAE00E3"/>
    <w:rsid w:val="3F150D8C"/>
    <w:rsid w:val="3F2604DF"/>
    <w:rsid w:val="3F3106BC"/>
    <w:rsid w:val="3F6783E4"/>
    <w:rsid w:val="3FFF82D4"/>
    <w:rsid w:val="402E7C06"/>
    <w:rsid w:val="40FE5F8F"/>
    <w:rsid w:val="410A07A5"/>
    <w:rsid w:val="41793A79"/>
    <w:rsid w:val="422830F8"/>
    <w:rsid w:val="42454447"/>
    <w:rsid w:val="425049CE"/>
    <w:rsid w:val="42AB766E"/>
    <w:rsid w:val="42AC50F0"/>
    <w:rsid w:val="43112896"/>
    <w:rsid w:val="43775ABD"/>
    <w:rsid w:val="438E3D63"/>
    <w:rsid w:val="43B219DC"/>
    <w:rsid w:val="43C639D7"/>
    <w:rsid w:val="44433F0D"/>
    <w:rsid w:val="4444198E"/>
    <w:rsid w:val="44A97134"/>
    <w:rsid w:val="44AA067F"/>
    <w:rsid w:val="45CA7D80"/>
    <w:rsid w:val="4640280A"/>
    <w:rsid w:val="464239D2"/>
    <w:rsid w:val="467F3837"/>
    <w:rsid w:val="468C64C8"/>
    <w:rsid w:val="470E1E21"/>
    <w:rsid w:val="47515D8E"/>
    <w:rsid w:val="475B6938"/>
    <w:rsid w:val="47745049"/>
    <w:rsid w:val="48BA29B5"/>
    <w:rsid w:val="48C10000"/>
    <w:rsid w:val="48DA5DBD"/>
    <w:rsid w:val="490054B5"/>
    <w:rsid w:val="49D97D36"/>
    <w:rsid w:val="4A2B0A3A"/>
    <w:rsid w:val="4A5C478F"/>
    <w:rsid w:val="4A9F106C"/>
    <w:rsid w:val="4AE96ACE"/>
    <w:rsid w:val="4B0A02C2"/>
    <w:rsid w:val="4B706B53"/>
    <w:rsid w:val="4BBE3774"/>
    <w:rsid w:val="4BD71D7A"/>
    <w:rsid w:val="4BD777FC"/>
    <w:rsid w:val="4C0201EE"/>
    <w:rsid w:val="4C02380F"/>
    <w:rsid w:val="4CA301C9"/>
    <w:rsid w:val="4CC8271B"/>
    <w:rsid w:val="4D0933F1"/>
    <w:rsid w:val="4DD51840"/>
    <w:rsid w:val="4DD672C1"/>
    <w:rsid w:val="4E08156A"/>
    <w:rsid w:val="4E3B4A67"/>
    <w:rsid w:val="4E4C2032"/>
    <w:rsid w:val="4E4D4B6A"/>
    <w:rsid w:val="4EA25710"/>
    <w:rsid w:val="4F072EB6"/>
    <w:rsid w:val="4F6420D6"/>
    <w:rsid w:val="4F6F3B5F"/>
    <w:rsid w:val="514327E1"/>
    <w:rsid w:val="516D3625"/>
    <w:rsid w:val="51A95A08"/>
    <w:rsid w:val="51B179CB"/>
    <w:rsid w:val="520F0C30"/>
    <w:rsid w:val="521C0925"/>
    <w:rsid w:val="52753E57"/>
    <w:rsid w:val="529F4C9C"/>
    <w:rsid w:val="530449C0"/>
    <w:rsid w:val="53455D74"/>
    <w:rsid w:val="548173AF"/>
    <w:rsid w:val="549D6CE0"/>
    <w:rsid w:val="54F14646"/>
    <w:rsid w:val="552A59CF"/>
    <w:rsid w:val="556101D6"/>
    <w:rsid w:val="562316F8"/>
    <w:rsid w:val="56355AFC"/>
    <w:rsid w:val="566A39AB"/>
    <w:rsid w:val="57013F4B"/>
    <w:rsid w:val="570219CD"/>
    <w:rsid w:val="57075E39"/>
    <w:rsid w:val="5733219C"/>
    <w:rsid w:val="57503162"/>
    <w:rsid w:val="578C1931"/>
    <w:rsid w:val="57C16BC1"/>
    <w:rsid w:val="58025EF8"/>
    <w:rsid w:val="58702637"/>
    <w:rsid w:val="58FF3A11"/>
    <w:rsid w:val="591F0542"/>
    <w:rsid w:val="597F3BD7"/>
    <w:rsid w:val="59AB1DFB"/>
    <w:rsid w:val="5A325088"/>
    <w:rsid w:val="5A332B09"/>
    <w:rsid w:val="5A89344F"/>
    <w:rsid w:val="5AF92E81"/>
    <w:rsid w:val="5AFE34D7"/>
    <w:rsid w:val="5B235C95"/>
    <w:rsid w:val="5B6466FE"/>
    <w:rsid w:val="5B654180"/>
    <w:rsid w:val="5BA419F7"/>
    <w:rsid w:val="5BCA1926"/>
    <w:rsid w:val="5BF91583"/>
    <w:rsid w:val="5BFB2E57"/>
    <w:rsid w:val="5C063E82"/>
    <w:rsid w:val="5D201067"/>
    <w:rsid w:val="5D3C19FB"/>
    <w:rsid w:val="5D6361C4"/>
    <w:rsid w:val="5D7C348F"/>
    <w:rsid w:val="5DC913EB"/>
    <w:rsid w:val="5DD7483B"/>
    <w:rsid w:val="5E5FAB03"/>
    <w:rsid w:val="5EFB2A62"/>
    <w:rsid w:val="5F08663C"/>
    <w:rsid w:val="5F9FEDD5"/>
    <w:rsid w:val="5FBEF003"/>
    <w:rsid w:val="5FDC55D3"/>
    <w:rsid w:val="5FE33914"/>
    <w:rsid w:val="5FFA4D85"/>
    <w:rsid w:val="602422E6"/>
    <w:rsid w:val="61124A7A"/>
    <w:rsid w:val="612E7E8C"/>
    <w:rsid w:val="61402C9C"/>
    <w:rsid w:val="616C4C70"/>
    <w:rsid w:val="61A65EC3"/>
    <w:rsid w:val="62012A77"/>
    <w:rsid w:val="626A7CAD"/>
    <w:rsid w:val="62926DC6"/>
    <w:rsid w:val="63C329BB"/>
    <w:rsid w:val="63DB75A1"/>
    <w:rsid w:val="640146EE"/>
    <w:rsid w:val="64900E0A"/>
    <w:rsid w:val="649C61C5"/>
    <w:rsid w:val="64E43803"/>
    <w:rsid w:val="64F64031"/>
    <w:rsid w:val="64F71AB3"/>
    <w:rsid w:val="655C7259"/>
    <w:rsid w:val="658402DE"/>
    <w:rsid w:val="65C22480"/>
    <w:rsid w:val="6608615A"/>
    <w:rsid w:val="662856A8"/>
    <w:rsid w:val="669D12B6"/>
    <w:rsid w:val="66EF4576"/>
    <w:rsid w:val="66F51579"/>
    <w:rsid w:val="675B47A0"/>
    <w:rsid w:val="67976B83"/>
    <w:rsid w:val="67C279C8"/>
    <w:rsid w:val="6827516E"/>
    <w:rsid w:val="69A10B88"/>
    <w:rsid w:val="6A8D335E"/>
    <w:rsid w:val="6AD7030F"/>
    <w:rsid w:val="6B2E2EE7"/>
    <w:rsid w:val="6BBD3A50"/>
    <w:rsid w:val="6BCC1BB9"/>
    <w:rsid w:val="6BD9385B"/>
    <w:rsid w:val="6C2446F9"/>
    <w:rsid w:val="6C8A7920"/>
    <w:rsid w:val="6D5E0131"/>
    <w:rsid w:val="6D721FA6"/>
    <w:rsid w:val="6D923254"/>
    <w:rsid w:val="6E04767D"/>
    <w:rsid w:val="6E144A3B"/>
    <w:rsid w:val="6E6950E9"/>
    <w:rsid w:val="6E8973E6"/>
    <w:rsid w:val="6F555835"/>
    <w:rsid w:val="6F732ABB"/>
    <w:rsid w:val="6F9E6F2E"/>
    <w:rsid w:val="6FBA2FDB"/>
    <w:rsid w:val="6FBB0A5D"/>
    <w:rsid w:val="6FEF5D19"/>
    <w:rsid w:val="6FF58B64"/>
    <w:rsid w:val="6FF8F863"/>
    <w:rsid w:val="707C4A6F"/>
    <w:rsid w:val="70CF02CA"/>
    <w:rsid w:val="70FD6960"/>
    <w:rsid w:val="71013020"/>
    <w:rsid w:val="714E48D5"/>
    <w:rsid w:val="71B82AA1"/>
    <w:rsid w:val="71D228BA"/>
    <w:rsid w:val="721F5CC8"/>
    <w:rsid w:val="72601FB5"/>
    <w:rsid w:val="72AA36AE"/>
    <w:rsid w:val="732C0404"/>
    <w:rsid w:val="7376089F"/>
    <w:rsid w:val="7393362B"/>
    <w:rsid w:val="75001604"/>
    <w:rsid w:val="756357C0"/>
    <w:rsid w:val="75B2DA43"/>
    <w:rsid w:val="75BD90DB"/>
    <w:rsid w:val="75F0310B"/>
    <w:rsid w:val="76C00A6A"/>
    <w:rsid w:val="76E836A3"/>
    <w:rsid w:val="7794703F"/>
    <w:rsid w:val="77B41AF2"/>
    <w:rsid w:val="77DF8BD4"/>
    <w:rsid w:val="77EFD5CC"/>
    <w:rsid w:val="77FB2266"/>
    <w:rsid w:val="77FFADAC"/>
    <w:rsid w:val="781A4D19"/>
    <w:rsid w:val="7874060E"/>
    <w:rsid w:val="78807F41"/>
    <w:rsid w:val="794C090E"/>
    <w:rsid w:val="794D6390"/>
    <w:rsid w:val="797E1769"/>
    <w:rsid w:val="79AF2BB1"/>
    <w:rsid w:val="7A186D5D"/>
    <w:rsid w:val="7A7F7A06"/>
    <w:rsid w:val="7B3F5E27"/>
    <w:rsid w:val="7B4B5E55"/>
    <w:rsid w:val="7BB1107D"/>
    <w:rsid w:val="7BFD6076"/>
    <w:rsid w:val="7C166823"/>
    <w:rsid w:val="7C7D1A4A"/>
    <w:rsid w:val="7C8E43D6"/>
    <w:rsid w:val="7DA813EB"/>
    <w:rsid w:val="7DFF108F"/>
    <w:rsid w:val="7E0250CA"/>
    <w:rsid w:val="7E163D6A"/>
    <w:rsid w:val="7E6C6CF7"/>
    <w:rsid w:val="7EE14738"/>
    <w:rsid w:val="7EED8AE6"/>
    <w:rsid w:val="7F230A24"/>
    <w:rsid w:val="7F4853E1"/>
    <w:rsid w:val="91BF8AB9"/>
    <w:rsid w:val="9FF1B21D"/>
    <w:rsid w:val="B7BFD803"/>
    <w:rsid w:val="BD5EB179"/>
    <w:rsid w:val="BD7F788E"/>
    <w:rsid w:val="DEFF1EB3"/>
    <w:rsid w:val="DF3F4C88"/>
    <w:rsid w:val="DF7A9960"/>
    <w:rsid w:val="DFBF15D5"/>
    <w:rsid w:val="DFD70EC8"/>
    <w:rsid w:val="DFFE6C63"/>
    <w:rsid w:val="E53DE605"/>
    <w:rsid w:val="ECC7B000"/>
    <w:rsid w:val="F0ED2927"/>
    <w:rsid w:val="F3EF5848"/>
    <w:rsid w:val="F5A28C7E"/>
    <w:rsid w:val="F9BF6AE4"/>
    <w:rsid w:val="FB57F652"/>
    <w:rsid w:val="FBBF88F6"/>
    <w:rsid w:val="FBFEBC90"/>
    <w:rsid w:val="FD7BEF22"/>
    <w:rsid w:val="FD8BB826"/>
    <w:rsid w:val="FD9199D6"/>
    <w:rsid w:val="FDAC17BA"/>
    <w:rsid w:val="FDDF4064"/>
    <w:rsid w:val="FDF46C9E"/>
    <w:rsid w:val="FEDEBCAC"/>
    <w:rsid w:val="FF7F62AA"/>
    <w:rsid w:val="FFDBA3A8"/>
    <w:rsid w:val="FFFE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2014</Words>
  <Characters>2215</Characters>
  <Lines>0</Lines>
  <Paragraphs>0</Paragraphs>
  <TotalTime>0</TotalTime>
  <ScaleCrop>false</ScaleCrop>
  <LinksUpToDate>false</LinksUpToDate>
  <CharactersWithSpaces>2220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2021-08-01T18:04:00Z</dcterms:created>
  <dc:creator>胖林宝宝噜啦噜～</dc:creator>
  <cp:lastModifiedBy>河谷镇</cp:lastModifiedBy>
  <cp:lastPrinted>2024-12-11T08:59:00Z</cp:lastPrinted>
  <dcterms:modified xsi:type="dcterms:W3CDTF">2025-07-29T08:10:34Z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526F4C53292B48849053E71A59849707</vt:lpwstr>
  </property>
  <property fmtid="{D5CDD505-2E9C-101B-9397-08002B2CF9AE}" pid="4" name="KSOTemplateDocerSaveRecord">
    <vt:lpwstr>eyJoZGlkIjoiNjljYzBiNmJkNjNmYjA3MDkwNzQ4ZTM5NDc1MTY5NDgiLCJ1c2VySWQiOiI0OTg3NTAzNTcifQ==</vt:lpwstr>
  </property>
</Properties>
</file>