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0B75">
      <w:pPr>
        <w:keepNext w:val="0"/>
        <w:keepLines w:val="0"/>
        <w:pageBreakBefore w:val="0"/>
        <w:numPr>
          <w:ilvl w:val="0"/>
          <w:numId w:val="2"/>
        </w:numPr>
        <w:kinsoku/>
        <w:wordWrap/>
        <w:overflowPunct/>
        <w:topLinePunct w:val="0"/>
        <w:bidi w:val="0"/>
        <w:spacing w:line="60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571A458E">
      <w:pPr>
        <w:pStyle w:val="2"/>
        <w:keepNext w:val="0"/>
        <w:keepLines w:val="0"/>
        <w:pageBreakBefore w:val="0"/>
        <w:numPr>
          <w:ilvl w:val="0"/>
          <w:numId w:val="2"/>
        </w:numPr>
        <w:kinsoku/>
        <w:wordWrap/>
        <w:overflowPunct/>
        <w:topLinePunct w:val="0"/>
        <w:bidi w:val="0"/>
        <w:spacing w:before="0" w:after="0" w:line="60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15CB70E4">
      <w:pPr>
        <w:keepNext w:val="0"/>
        <w:keepLines w:val="0"/>
        <w:pageBreakBefore w:val="0"/>
        <w:widowControl/>
        <w:kinsoku/>
        <w:wordWrap/>
        <w:overflowPunct/>
        <w:topLinePunct w:val="0"/>
        <w:bidi w:val="0"/>
        <w:snapToGrid w:val="0"/>
        <w:spacing w:line="60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103</w:t>
      </w:r>
      <w:r>
        <w:rPr>
          <w:rFonts w:hint="eastAsia" w:ascii="Times New Roman" w:hAnsi="Times New Roman" w:eastAsia="仿宋_GB2312" w:cs="Mongolian Baiti"/>
          <w:color w:val="auto"/>
          <w:sz w:val="32"/>
          <w:u w:val="none"/>
        </w:rPr>
        <w:t>号</w:t>
      </w:r>
      <w:bookmarkEnd w:id="2"/>
    </w:p>
    <w:p w14:paraId="42ECCD08">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14:paraId="1A3CCF37">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当事人：</w:t>
      </w:r>
      <w:bookmarkStart w:id="3" w:name="OLE_LINK2"/>
      <w:r>
        <w:rPr>
          <w:rFonts w:hint="eastAsia" w:ascii="Times New Roman" w:hAnsi="Times New Roman" w:eastAsia="仿宋_GB2312" w:cs="Times New Roman"/>
          <w:color w:val="auto"/>
          <w:sz w:val="32"/>
          <w:szCs w:val="32"/>
          <w:u w:val="none"/>
          <w:lang w:eastAsia="zh-CN"/>
        </w:rPr>
        <w:t>柳州市柳北区梁仔水产店</w:t>
      </w:r>
      <w:bookmarkEnd w:id="3"/>
    </w:p>
    <w:p w14:paraId="54BBF884">
      <w:pPr>
        <w:pStyle w:val="8"/>
        <w:keepNext w:val="0"/>
        <w:keepLines w:val="0"/>
        <w:pageBreakBefore w:val="0"/>
        <w:widowControl w:val="0"/>
        <w:kinsoku/>
        <w:wordWrap/>
        <w:overflowPunct/>
        <w:topLinePunct w:val="0"/>
        <w:bidi w:val="0"/>
        <w:adjustRightInd w:val="0"/>
        <w:snapToGrid/>
        <w:spacing w:line="560" w:lineRule="exact"/>
        <w:rPr>
          <w:rFonts w:hint="eastAsia" w:hAnsi="仿宋_GB2312" w:cs="仿宋_GB2312"/>
          <w:color w:val="auto"/>
          <w:sz w:val="32"/>
          <w:szCs w:val="32"/>
          <w:lang w:eastAsia="zh-CN"/>
        </w:rPr>
      </w:pPr>
      <w:r>
        <w:rPr>
          <w:rFonts w:hint="eastAsia" w:ascii="仿宋_GB2312" w:hAnsi="仿宋_GB2312" w:eastAsia="仿宋_GB2312" w:cs="仿宋_GB2312"/>
          <w:color w:val="auto"/>
          <w:sz w:val="32"/>
          <w:szCs w:val="32"/>
        </w:rPr>
        <w:t>主体资格证照名称</w:t>
      </w:r>
      <w:r>
        <w:rPr>
          <w:rFonts w:hint="eastAsia" w:hAnsi="仿宋_GB2312" w:cs="仿宋_GB2312"/>
          <w:color w:val="auto"/>
          <w:sz w:val="32"/>
          <w:szCs w:val="32"/>
          <w:lang w:eastAsia="zh-CN"/>
        </w:rPr>
        <w:t>：营业执照</w:t>
      </w:r>
    </w:p>
    <w:p w14:paraId="3DB19A12">
      <w:pPr>
        <w:pStyle w:val="8"/>
        <w:keepNext w:val="0"/>
        <w:keepLines w:val="0"/>
        <w:pageBreakBefore w:val="0"/>
        <w:widowControl w:val="0"/>
        <w:kinsoku/>
        <w:wordWrap/>
        <w:overflowPunct/>
        <w:topLinePunct w:val="0"/>
        <w:bidi w:val="0"/>
        <w:adjustRightInd w:val="0"/>
        <w:snapToGrid/>
        <w:spacing w:line="560" w:lineRule="exact"/>
        <w:rPr>
          <w:rFonts w:hint="eastAsia" w:ascii="仿宋_GB2312" w:hAnsi="仿宋" w:eastAsia="仿宋_GB2312" w:cs="仿宋"/>
          <w:color w:val="auto"/>
          <w:sz w:val="32"/>
          <w:szCs w:val="32"/>
          <w:u w:val="none"/>
          <w:lang w:val="en-US" w:eastAsia="zh-CN"/>
        </w:rPr>
      </w:pPr>
      <w:r>
        <w:rPr>
          <w:rFonts w:hint="eastAsia" w:hAnsi="仿宋_GB2312" w:cs="仿宋_GB2312"/>
          <w:color w:val="auto"/>
          <w:sz w:val="32"/>
          <w:szCs w:val="32"/>
          <w:lang w:eastAsia="zh-CN"/>
        </w:rPr>
        <w:t>统一社会信用代码：</w:t>
      </w:r>
      <w:bookmarkStart w:id="4" w:name="dsrgtgshtyshxydm"/>
      <w:r>
        <w:rPr>
          <w:rFonts w:hint="default" w:ascii="Times New Roman" w:hAnsi="Times New Roman" w:eastAsia="仿宋_GB2312" w:cs="Times New Roman"/>
          <w:color w:val="auto"/>
          <w:sz w:val="32"/>
          <w:szCs w:val="32"/>
        </w:rPr>
        <w:t>9245</w:t>
      </w:r>
      <w:r>
        <w:rPr>
          <w:rFonts w:hint="default" w:ascii="Times New Roman" w:hAnsi="Times New Roman" w:eastAsia="仿宋_GB2312" w:cs="Times New Roman"/>
          <w:color w:val="auto"/>
          <w:sz w:val="32"/>
          <w:szCs w:val="32"/>
          <w:highlight w:val="none"/>
        </w:rPr>
        <w:t>0205MA5KFC2YXL</w:t>
      </w:r>
      <w:bookmarkEnd w:id="4"/>
    </w:p>
    <w:p w14:paraId="7C903CA4">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 w:eastAsia="仿宋_GB2312" w:cs="仿宋"/>
          <w:color w:val="auto"/>
          <w:sz w:val="32"/>
          <w:szCs w:val="32"/>
          <w:u w:val="none"/>
          <w:lang w:val="en-US" w:eastAsia="zh-CN"/>
        </w:rPr>
      </w:pPr>
      <w:r>
        <w:rPr>
          <w:rFonts w:hint="eastAsia" w:ascii="仿宋_GB2312" w:hAnsi="Times New Roman" w:eastAsia="仿宋_GB2312" w:cs="仿宋_GB2312"/>
          <w:color w:val="auto"/>
          <w:sz w:val="32"/>
          <w:szCs w:val="32"/>
          <w:u w:val="none"/>
        </w:rPr>
        <w:t>经营场所：</w:t>
      </w:r>
      <w:r>
        <w:rPr>
          <w:rFonts w:hint="default" w:ascii="Times New Roman" w:hAnsi="Times New Roman" w:eastAsia="仿宋_GB2312" w:cs="Times New Roman"/>
          <w:color w:val="auto"/>
          <w:spacing w:val="-8"/>
          <w:sz w:val="32"/>
          <w:szCs w:val="32"/>
          <w:highlight w:val="none"/>
          <w:u w:val="none"/>
          <w:lang w:val="en-US" w:eastAsia="zh-CN"/>
        </w:rPr>
        <w:t>柳州市雀儿山市场1-10、1-11号门面</w:t>
      </w:r>
    </w:p>
    <w:p w14:paraId="757BEA5F">
      <w:pPr>
        <w:pStyle w:val="8"/>
        <w:keepNext w:val="0"/>
        <w:keepLines w:val="0"/>
        <w:pageBreakBefore w:val="0"/>
        <w:widowControl w:val="0"/>
        <w:kinsoku/>
        <w:wordWrap/>
        <w:overflowPunct/>
        <w:topLinePunct w:val="0"/>
        <w:bidi w:val="0"/>
        <w:adjustRightInd w:val="0"/>
        <w:snapToGrid/>
        <w:spacing w:line="560" w:lineRule="exact"/>
        <w:rPr>
          <w:rFonts w:hint="eastAsia"/>
          <w:color w:val="auto"/>
          <w:lang w:val="en-US" w:eastAsia="zh-CN"/>
        </w:rPr>
      </w:pPr>
      <w:r>
        <w:rPr>
          <w:rFonts w:hint="eastAsia" w:hAnsi="仿宋" w:cs="仿宋"/>
          <w:color w:val="auto"/>
          <w:sz w:val="32"/>
          <w:szCs w:val="32"/>
          <w:u w:val="none"/>
          <w:lang w:val="en-US" w:eastAsia="zh-CN"/>
        </w:rPr>
        <w:t>经营者：</w:t>
      </w:r>
      <w:r>
        <w:rPr>
          <w:rFonts w:hint="default" w:ascii="Times New Roman" w:hAnsi="Times New Roman" w:eastAsia="仿宋_GB2312" w:cs="Times New Roman"/>
          <w:color w:val="auto"/>
          <w:sz w:val="32"/>
          <w:szCs w:val="32"/>
          <w:highlight w:val="none"/>
          <w:u w:val="none"/>
        </w:rPr>
        <w:t>梁昌环</w:t>
      </w:r>
    </w:p>
    <w:p w14:paraId="383B8D6B">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Times New Roman" w:hAnsi="Times New Roman" w:eastAsia="仿宋_GB2312" w:cs="Times New Roman"/>
          <w:color w:val="auto"/>
          <w:sz w:val="32"/>
          <w:szCs w:val="32"/>
          <w:highlight w:val="none"/>
          <w:u w:val="none"/>
          <w:lang w:val="en-US" w:eastAsia="zh-CN"/>
        </w:rPr>
        <w:t>*</w:t>
      </w:r>
    </w:p>
    <w:p w14:paraId="2FF872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76EC7B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bookmarkStart w:id="5" w:name="OLE_LINK3"/>
      <w:r>
        <w:rPr>
          <w:rFonts w:hint="default" w:ascii="Times New Roman" w:hAnsi="Times New Roman" w:eastAsia="仿宋_GB2312" w:cs="Times New Roman"/>
          <w:color w:val="auto"/>
          <w:sz w:val="32"/>
          <w:szCs w:val="32"/>
          <w:highlight w:val="none"/>
          <w:u w:val="none"/>
          <w:lang w:val="en-US" w:eastAsia="zh-CN"/>
        </w:rPr>
        <w:t>2024年12月1</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日我局执法人员对当事人进行检查，</w:t>
      </w:r>
      <w:r>
        <w:rPr>
          <w:rFonts w:hint="eastAsia" w:ascii="仿宋_GB2312" w:hAnsi="Times New Roman" w:eastAsia="仿宋_GB2312" w:cs="仿宋_GB2312"/>
          <w:color w:val="auto"/>
          <w:sz w:val="32"/>
          <w:highlight w:val="none"/>
          <w:u w:val="none"/>
          <w:lang w:val="en-US" w:eastAsia="zh-CN"/>
        </w:rPr>
        <w:t>发现当事人在经营活动中用于贸易结算的一台电子计价秤，该秤的标签标有“宝康省电王，最大称重30kg，</w:t>
      </w:r>
      <w:r>
        <w:rPr>
          <w:rFonts w:hint="eastAsia" w:ascii="Times New Roman" w:hAnsi="Times New Roman" w:eastAsia="仿宋_GB2312" w:cs="Times New Roman"/>
          <w:color w:val="auto"/>
          <w:sz w:val="32"/>
          <w:szCs w:val="32"/>
          <w:highlight w:val="none"/>
          <w:u w:val="none"/>
          <w:lang w:val="en-US" w:eastAsia="zh-CN"/>
        </w:rPr>
        <w:t>最小称重200g</w:t>
      </w:r>
      <w:r>
        <w:rPr>
          <w:rFonts w:hint="default" w:ascii="Times New Roman" w:hAnsi="Times New Roman" w:eastAsia="仿宋_GB2312" w:cs="Times New Roman"/>
          <w:color w:val="auto"/>
          <w:sz w:val="32"/>
          <w:szCs w:val="32"/>
          <w:highlight w:val="none"/>
          <w:u w:val="none"/>
          <w:lang w:val="en-US" w:eastAsia="zh-CN"/>
        </w:rPr>
        <w:t>，</w:t>
      </w:r>
      <w:r>
        <w:rPr>
          <w:rFonts w:hint="eastAsia" w:ascii="仿宋_GB2312" w:hAnsi="Times New Roman" w:eastAsia="仿宋_GB2312" w:cs="仿宋_GB2312"/>
          <w:color w:val="auto"/>
          <w:sz w:val="32"/>
          <w:highlight w:val="none"/>
          <w:u w:val="none"/>
          <w:lang w:val="en-US" w:eastAsia="zh-CN"/>
        </w:rPr>
        <w:t>分度值10g，上海宝康电子有限公司经销”，执法人员将2kg标准砝码放置在上述电子计价秤上称重，显示称重数值为4斤；当按单价4按键时，显示称重数值为4.79斤；当按单价5按键时，显示称重数值为4.99斤，当按单价6按键时，显示称重数值为5.19斤。因当事人涉嫌使用不合格电子计价秤，执法人员现场对该电子计价秤进行抽样送检。</w:t>
      </w:r>
      <w:r>
        <w:rPr>
          <w:rFonts w:hint="default" w:ascii="Times New Roman" w:hAnsi="Times New Roman" w:eastAsia="仿宋_GB2312" w:cs="Times New Roman"/>
          <w:color w:val="auto"/>
          <w:sz w:val="32"/>
          <w:szCs w:val="32"/>
          <w:highlight w:val="none"/>
          <w:u w:val="none"/>
          <w:lang w:val="en-US" w:eastAsia="zh-CN"/>
        </w:rPr>
        <w:t>2025年1月23日，我局收到柳州市计量技术测试研究所出具的《检定结果通知书》</w:t>
      </w:r>
      <w:r>
        <w:rPr>
          <w:rFonts w:hint="default" w:ascii="Times New Roman" w:hAnsi="Times New Roman" w:eastAsia="仿宋_GB2312" w:cs="Times New Roman"/>
          <w:color w:val="auto"/>
          <w:kern w:val="0"/>
          <w:sz w:val="32"/>
          <w:szCs w:val="32"/>
          <w:highlight w:val="none"/>
          <w:u w:val="none"/>
        </w:rPr>
        <w:t>（证书编号：HLH2</w:t>
      </w:r>
      <w:r>
        <w:rPr>
          <w:rFonts w:hint="default" w:ascii="Times New Roman" w:hAnsi="Times New Roman" w:eastAsia="仿宋_GB2312" w:cs="Times New Roman"/>
          <w:color w:val="auto"/>
          <w:kern w:val="0"/>
          <w:sz w:val="32"/>
          <w:szCs w:val="32"/>
          <w:highlight w:val="none"/>
          <w:u w:val="none"/>
          <w:lang w:val="en-US" w:eastAsia="zh-CN"/>
        </w:rPr>
        <w:t>501003</w:t>
      </w:r>
      <w:r>
        <w:rPr>
          <w:rFonts w:hint="eastAsia"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，检定结论为不合格。2025年1月24日我局向当事人送达了上述《检定结果通知书》和《检定结果告知书》</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依法对上述电子计价秤采取扣押的行政强制措施。当事人在法定期限内未提出复检申请。</w:t>
      </w:r>
      <w:bookmarkStart w:id="6" w:name="OLE_LINK1"/>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月</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日</w:t>
      </w:r>
      <w:bookmarkEnd w:id="6"/>
      <w:r>
        <w:rPr>
          <w:rFonts w:hint="default" w:ascii="Times New Roman" w:hAnsi="Times New Roman" w:eastAsia="仿宋_GB2312" w:cs="Times New Roman"/>
          <w:color w:val="auto"/>
          <w:sz w:val="32"/>
          <w:szCs w:val="32"/>
          <w:highlight w:val="none"/>
          <w:u w:val="none"/>
          <w:lang w:val="en-US" w:eastAsia="zh-CN"/>
        </w:rPr>
        <w:t>我局对当事人上述行为进行立案调查。</w:t>
      </w:r>
    </w:p>
    <w:bookmarkEnd w:id="5"/>
    <w:p w14:paraId="331F570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经查实，</w:t>
      </w:r>
      <w:r>
        <w:rPr>
          <w:rFonts w:hint="eastAsia" w:ascii="Times New Roman" w:hAnsi="Times New Roman" w:eastAsia="仿宋_GB2312" w:cs="Times New Roman"/>
          <w:color w:val="auto"/>
          <w:sz w:val="32"/>
          <w:szCs w:val="32"/>
          <w:highlight w:val="none"/>
          <w:u w:val="none"/>
          <w:lang w:val="en-US" w:eastAsia="zh-CN"/>
        </w:rPr>
        <w:t>2024年4月24日至</w:t>
      </w:r>
      <w:r>
        <w:rPr>
          <w:rFonts w:hint="default" w:ascii="Times New Roman" w:hAnsi="Times New Roman" w:eastAsia="仿宋_GB2312" w:cs="Times New Roman"/>
          <w:color w:val="auto"/>
          <w:sz w:val="32"/>
          <w:szCs w:val="32"/>
          <w:highlight w:val="none"/>
          <w:lang w:eastAsia="zh-CN"/>
        </w:rPr>
        <w:t>2024年12月1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color w:val="auto"/>
          <w:sz w:val="32"/>
          <w:szCs w:val="32"/>
          <w:highlight w:val="none"/>
          <w:u w:val="none"/>
          <w:lang w:val="en-US" w:eastAsia="zh-CN"/>
        </w:rPr>
        <w:t>被我局依法查获</w:t>
      </w:r>
      <w:r>
        <w:rPr>
          <w:rFonts w:hint="eastAsia" w:ascii="Times New Roman" w:hAnsi="Times New Roman" w:eastAsia="仿宋_GB2312" w:cs="Times New Roman"/>
          <w:color w:val="auto"/>
          <w:sz w:val="32"/>
          <w:szCs w:val="32"/>
          <w:highlight w:val="none"/>
          <w:u w:val="none"/>
          <w:lang w:val="en-US" w:eastAsia="zh-CN"/>
        </w:rPr>
        <w:t>期间</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当事人</w:t>
      </w:r>
      <w:r>
        <w:rPr>
          <w:rFonts w:hint="default" w:ascii="Times New Roman" w:hAnsi="Times New Roman" w:eastAsia="仿宋_GB2312" w:cs="Times New Roman"/>
          <w:color w:val="auto"/>
          <w:sz w:val="32"/>
          <w:szCs w:val="32"/>
          <w:highlight w:val="none"/>
          <w:u w:val="none"/>
          <w:lang w:val="en-US" w:eastAsia="zh-CN"/>
        </w:rPr>
        <w:t>在</w:t>
      </w:r>
      <w:r>
        <w:rPr>
          <w:rFonts w:hint="default" w:ascii="Times New Roman" w:hAnsi="Times New Roman" w:eastAsia="仿宋_GB2312" w:cs="Times New Roman"/>
          <w:color w:val="auto"/>
          <w:spacing w:val="-8"/>
          <w:sz w:val="32"/>
          <w:szCs w:val="32"/>
          <w:highlight w:val="none"/>
          <w:u w:val="none"/>
          <w:lang w:val="en-US" w:eastAsia="zh-CN"/>
        </w:rPr>
        <w:t>柳州市雀儿山市场1-10、1-11号门面</w:t>
      </w:r>
      <w:r>
        <w:rPr>
          <w:rFonts w:hint="default" w:ascii="Times New Roman" w:hAnsi="Times New Roman" w:eastAsia="仿宋_GB2312" w:cs="Times New Roman"/>
          <w:color w:val="auto"/>
          <w:sz w:val="32"/>
          <w:szCs w:val="32"/>
          <w:highlight w:val="none"/>
          <w:u w:val="none"/>
          <w:lang w:val="en-US" w:eastAsia="zh-CN"/>
        </w:rPr>
        <w:t>从事水产品经营活动中用于贸易结算的一台电子计价秤</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u w:val="none"/>
          <w:lang w:eastAsia="zh-CN"/>
        </w:rPr>
        <w:t>上海宝康电子有限公司经销</w:t>
      </w:r>
      <w:r>
        <w:rPr>
          <w:rFonts w:hint="default" w:ascii="Times New Roman" w:hAnsi="Times New Roman" w:eastAsia="仿宋_GB2312" w:cs="Times New Roman"/>
          <w:color w:val="auto"/>
          <w:sz w:val="32"/>
          <w:szCs w:val="32"/>
          <w:highlight w:val="none"/>
          <w:u w:val="none"/>
          <w:lang w:val="en-US" w:eastAsia="zh-CN"/>
        </w:rPr>
        <w:t>），经柳州市计量技术测试研究所检定并出具的《检定结果通知书》</w:t>
      </w:r>
      <w:r>
        <w:rPr>
          <w:rFonts w:hint="default" w:ascii="Times New Roman" w:hAnsi="Times New Roman" w:eastAsia="仿宋_GB2312" w:cs="Times New Roman"/>
          <w:color w:val="auto"/>
          <w:kern w:val="0"/>
          <w:sz w:val="32"/>
          <w:szCs w:val="32"/>
          <w:highlight w:val="none"/>
          <w:u w:val="none"/>
        </w:rPr>
        <w:t>（证书编号：</w:t>
      </w:r>
      <w:r>
        <w:rPr>
          <w:rFonts w:hint="default" w:ascii="Times New Roman" w:hAnsi="Times New Roman" w:eastAsia="仿宋_GB2312" w:cs="Times New Roman"/>
          <w:color w:val="auto"/>
          <w:kern w:val="0"/>
          <w:sz w:val="32"/>
          <w:szCs w:val="32"/>
          <w:highlight w:val="none"/>
          <w:u w:val="none"/>
          <w:lang w:eastAsia="zh-CN"/>
        </w:rPr>
        <w:t>HLH2501003</w:t>
      </w:r>
      <w:r>
        <w:rPr>
          <w:rFonts w:hint="eastAsia"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记载：“计量器具名称：电子计价秤（</w:t>
      </w:r>
      <w:r>
        <w:rPr>
          <w:rFonts w:hint="default" w:ascii="Times New Roman" w:hAnsi="Times New Roman" w:eastAsia="仿宋_GB2312" w:cs="Times New Roman"/>
          <w:color w:val="auto"/>
          <w:sz w:val="32"/>
          <w:szCs w:val="32"/>
          <w:highlight w:val="none"/>
          <w:u w:val="none"/>
        </w:rPr>
        <w:t>梁昌环</w:t>
      </w:r>
      <w:r>
        <w:rPr>
          <w:rFonts w:hint="default" w:ascii="Times New Roman" w:hAnsi="Times New Roman" w:eastAsia="仿宋_GB2312" w:cs="Times New Roman"/>
          <w:color w:val="auto"/>
          <w:sz w:val="32"/>
          <w:szCs w:val="32"/>
          <w:highlight w:val="none"/>
          <w:u w:val="none"/>
          <w:lang w:val="en-US" w:eastAsia="zh-CN"/>
        </w:rPr>
        <w:t>），型号/规格：不详，出厂编号：不详，制造单位：</w:t>
      </w:r>
      <w:r>
        <w:rPr>
          <w:rFonts w:hint="eastAsia" w:ascii="Times New Roman" w:hAnsi="Times New Roman" w:eastAsia="仿宋_GB2312" w:cs="Times New Roman"/>
          <w:b w:val="0"/>
          <w:bCs/>
          <w:color w:val="auto"/>
          <w:sz w:val="32"/>
          <w:szCs w:val="32"/>
          <w:highlight w:val="none"/>
          <w:u w:val="none"/>
          <w:lang w:eastAsia="zh-CN"/>
        </w:rPr>
        <w:t>上海宝康电子有限公司经销</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rPr>
        <w:t>检</w:t>
      </w:r>
      <w:r>
        <w:rPr>
          <w:rFonts w:hint="default" w:ascii="Times New Roman" w:hAnsi="Times New Roman" w:eastAsia="仿宋_GB2312" w:cs="Times New Roman"/>
          <w:color w:val="auto"/>
          <w:sz w:val="32"/>
          <w:szCs w:val="32"/>
          <w:highlight w:val="none"/>
          <w:u w:val="none"/>
          <w:lang w:eastAsia="zh-CN"/>
        </w:rPr>
        <w:t>定</w:t>
      </w:r>
      <w:r>
        <w:rPr>
          <w:rFonts w:hint="default" w:ascii="Times New Roman" w:hAnsi="Times New Roman" w:eastAsia="仿宋_GB2312" w:cs="Times New Roman"/>
          <w:color w:val="auto"/>
          <w:kern w:val="0"/>
          <w:sz w:val="32"/>
          <w:szCs w:val="32"/>
          <w:highlight w:val="none"/>
          <w:u w:val="none"/>
          <w:lang w:eastAsia="zh-CN"/>
        </w:rPr>
        <w:t>结论</w:t>
      </w:r>
      <w:r>
        <w:rPr>
          <w:rFonts w:hint="default" w:ascii="Times New Roman" w:hAnsi="Times New Roman" w:eastAsia="仿宋_GB2312" w:cs="Times New Roman"/>
          <w:color w:val="auto"/>
          <w:kern w:val="0"/>
          <w:sz w:val="32"/>
          <w:szCs w:val="32"/>
          <w:highlight w:val="none"/>
          <w:u w:val="none"/>
        </w:rPr>
        <w:t>：不合格。</w:t>
      </w:r>
      <w:r>
        <w:rPr>
          <w:rFonts w:hint="eastAsia" w:ascii="仿宋_GB2312" w:hAnsi="Times New Roman" w:eastAsia="仿宋_GB2312" w:cs="仿宋_GB2312"/>
          <w:color w:val="auto"/>
          <w:sz w:val="32"/>
          <w:highlight w:val="none"/>
          <w:u w:val="none"/>
          <w:lang w:val="en-US" w:eastAsia="zh-CN"/>
        </w:rPr>
        <w:t>”其中检定数据/结果：1、</w:t>
      </w:r>
      <w:r>
        <w:rPr>
          <w:rFonts w:hint="eastAsia" w:ascii="仿宋_GB2312" w:hAnsi="仿宋_GB2312" w:eastAsia="仿宋_GB2312" w:cs="仿宋_GB2312"/>
          <w:bCs/>
          <w:color w:val="auto"/>
          <w:sz w:val="32"/>
          <w:szCs w:val="32"/>
          <w:highlight w:val="none"/>
          <w:u w:val="none"/>
          <w:lang w:val="en-US" w:eastAsia="zh-CN"/>
        </w:rPr>
        <w:t>检定项目：</w:t>
      </w:r>
      <w:r>
        <w:rPr>
          <w:rFonts w:hint="eastAsia" w:ascii="仿宋_GB2312" w:hAnsi="Times New Roman" w:eastAsia="仿宋_GB2312" w:cs="仿宋_GB2312"/>
          <w:color w:val="auto"/>
          <w:sz w:val="32"/>
          <w:highlight w:val="none"/>
          <w:u w:val="none"/>
          <w:lang w:val="en-US" w:eastAsia="zh-CN"/>
        </w:rPr>
        <w:t>计量法制标志和计量器具标识不符合，该秤未标注计量法制标志和计量器具标识，且无法查询到秤的制造厂信息；2、</w:t>
      </w:r>
      <w:r>
        <w:rPr>
          <w:rFonts w:hint="eastAsia" w:ascii="仿宋_GB2312" w:hAnsi="仿宋_GB2312" w:eastAsia="仿宋_GB2312" w:cs="仿宋_GB2312"/>
          <w:bCs/>
          <w:color w:val="auto"/>
          <w:sz w:val="32"/>
          <w:szCs w:val="32"/>
          <w:highlight w:val="none"/>
          <w:u w:val="none"/>
          <w:lang w:val="en-US" w:eastAsia="zh-CN"/>
        </w:rPr>
        <w:t>检定项目：</w:t>
      </w:r>
      <w:r>
        <w:rPr>
          <w:rFonts w:hint="eastAsia" w:ascii="仿宋_GB2312" w:hAnsi="Times New Roman" w:eastAsia="仿宋_GB2312" w:cs="仿宋_GB2312"/>
          <w:color w:val="auto"/>
          <w:sz w:val="32"/>
          <w:highlight w:val="none"/>
          <w:u w:val="none"/>
          <w:lang w:val="en-US" w:eastAsia="zh-CN"/>
        </w:rPr>
        <w:t>计量的安全性不符合。该秤未加有铅封，且存在不破坏铅封就能对秤进行与计量性能有关的参数调整的情况。该秤开机后，显示屏幕无任何显示，且充电口已损坏。因当事人在经营过程中未建立进销台账记录，故营业性收入无法计算。</w:t>
      </w:r>
    </w:p>
    <w:p w14:paraId="3B5FF936">
      <w:pPr>
        <w:keepNext w:val="0"/>
        <w:keepLines w:val="0"/>
        <w:pageBreakBefore w:val="0"/>
        <w:widowControl w:val="0"/>
        <w:kinsoku/>
        <w:wordWrap/>
        <w:overflowPunct/>
        <w:topLinePunct w:val="0"/>
        <w:autoSpaceDE/>
        <w:autoSpaceDN/>
        <w:bidi w:val="0"/>
        <w:snapToGrid/>
        <w:spacing w:line="5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上述事实，主要有以下证据证明：</w:t>
      </w:r>
    </w:p>
    <w:p w14:paraId="59F64ECC">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1.当事人的《营业执照》复印件1份及经营者</w:t>
      </w:r>
      <w:r>
        <w:rPr>
          <w:rFonts w:hint="default" w:ascii="Times New Roman" w:hAnsi="Times New Roman" w:eastAsia="仿宋_GB2312" w:cs="Times New Roman"/>
          <w:color w:val="auto"/>
          <w:sz w:val="32"/>
          <w:szCs w:val="32"/>
          <w:highlight w:val="none"/>
          <w:u w:val="none"/>
        </w:rPr>
        <w:t>梁昌环</w:t>
      </w:r>
      <w:r>
        <w:rPr>
          <w:rFonts w:hint="default" w:ascii="Times New Roman" w:hAnsi="Times New Roman" w:eastAsia="仿宋_GB2312" w:cs="Times New Roman"/>
          <w:b w:val="0"/>
          <w:bCs w:val="0"/>
          <w:color w:val="auto"/>
          <w:sz w:val="32"/>
          <w:szCs w:val="32"/>
          <w:highlight w:val="none"/>
          <w:lang w:eastAsia="zh-CN"/>
        </w:rPr>
        <w:t>身份证复印件1份，证明当事人的主体资格及经营者</w:t>
      </w:r>
      <w:r>
        <w:rPr>
          <w:rFonts w:hint="eastAsia" w:ascii="Times New Roman" w:hAnsi="Times New Roman" w:eastAsia="仿宋_GB2312" w:cs="Times New Roman"/>
          <w:b w:val="0"/>
          <w:bCs w:val="0"/>
          <w:color w:val="auto"/>
          <w:sz w:val="32"/>
          <w:szCs w:val="32"/>
          <w:highlight w:val="none"/>
          <w:lang w:val="en-US" w:eastAsia="zh-CN"/>
        </w:rPr>
        <w:t>的身份信息</w:t>
      </w:r>
      <w:r>
        <w:rPr>
          <w:rFonts w:hint="default" w:ascii="Times New Roman" w:hAnsi="Times New Roman" w:eastAsia="仿宋_GB2312" w:cs="Times New Roman"/>
          <w:b w:val="0"/>
          <w:bCs w:val="0"/>
          <w:color w:val="auto"/>
          <w:sz w:val="32"/>
          <w:szCs w:val="32"/>
          <w:highlight w:val="none"/>
          <w:lang w:eastAsia="zh-CN"/>
        </w:rPr>
        <w:t>。</w:t>
      </w:r>
    </w:p>
    <w:p w14:paraId="3D954E77">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w:t>
      </w:r>
      <w:r>
        <w:rPr>
          <w:rFonts w:hint="default" w:ascii="Times New Roman" w:hAnsi="Times New Roman" w:eastAsia="仿宋_GB2312" w:cs="Times New Roman"/>
          <w:color w:val="auto"/>
          <w:sz w:val="32"/>
          <w:szCs w:val="32"/>
          <w:highlight w:val="none"/>
          <w:lang w:eastAsia="zh-CN"/>
        </w:rPr>
        <w:t>2024年12月1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b w:val="0"/>
          <w:bCs w:val="0"/>
          <w:color w:val="auto"/>
          <w:sz w:val="32"/>
          <w:szCs w:val="32"/>
          <w:highlight w:val="none"/>
          <w:lang w:eastAsia="zh-CN"/>
        </w:rPr>
        <w:t>我局执法人员对当事人进行现场检查制作的《现场笔录》1份、证据提取单</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份、《计量器具抽样登记表》（编号：柳北计量抽〔2024〕第</w:t>
      </w:r>
      <w:r>
        <w:rPr>
          <w:rFonts w:hint="eastAsia" w:ascii="Times New Roman" w:hAnsi="Times New Roman" w:eastAsia="仿宋_GB2312" w:cs="Times New Roman"/>
          <w:b w:val="0"/>
          <w:bCs w:val="0"/>
          <w:color w:val="auto"/>
          <w:sz w:val="32"/>
          <w:szCs w:val="32"/>
          <w:highlight w:val="none"/>
          <w:lang w:val="en-US" w:eastAsia="zh-CN"/>
        </w:rPr>
        <w:t>62024121701</w:t>
      </w:r>
      <w:r>
        <w:rPr>
          <w:rFonts w:hint="default" w:ascii="Times New Roman" w:hAnsi="Times New Roman" w:eastAsia="仿宋_GB2312" w:cs="Times New Roman"/>
          <w:b w:val="0"/>
          <w:bCs w:val="0"/>
          <w:color w:val="auto"/>
          <w:sz w:val="32"/>
          <w:szCs w:val="32"/>
          <w:highlight w:val="none"/>
          <w:lang w:eastAsia="zh-CN"/>
        </w:rPr>
        <w:t>号）1份，证明我局对当事人的检查及抽样情况；</w:t>
      </w:r>
    </w:p>
    <w:p w14:paraId="052A7C2C">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3.《检验鉴定委托书》（柳北市监检鉴委〔202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eastAsia="zh-CN"/>
        </w:rPr>
        <w:t xml:space="preserve">号）1份、计量器具检定/校准/检测委托（合同）单1份、柳州市计量技术测试研究所资质证书复印件1份，证明我局依法委托柳州市计量技术测试研究所对当事人经营活动中用于贸易结算的电子计价秤进行检定及柳州市计量技术测试研究所具有检定电子计价秤的资格。 </w:t>
      </w:r>
    </w:p>
    <w:p w14:paraId="75534185">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4.《检定结果告知书》（柳北市监检鉴结〔202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lang w:eastAsia="zh-CN"/>
        </w:rPr>
        <w:t>号）和《检定结果通知书》（证书编号：HLH2501003</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eastAsia="zh-CN"/>
        </w:rPr>
        <w:t>）各1份，证明涉案的电子计价秤检定结论为不合格；</w:t>
      </w:r>
    </w:p>
    <w:p w14:paraId="60FA6E2E">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5.202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年</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月</w:t>
      </w:r>
      <w:r>
        <w:rPr>
          <w:rFonts w:hint="default" w:ascii="Times New Roman" w:hAnsi="Times New Roman"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lang w:eastAsia="zh-CN"/>
        </w:rPr>
        <w:t>日制作的《现场笔录》1份、《实施行政强制措施决定书》（柳北市监强制〔202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eastAsia="zh-CN"/>
        </w:rPr>
        <w:t>号）1份、《财物清单》1份，证明我局对当事人在经营中使用的不合格的电子计价秤采取扣押行政强制措施；</w:t>
      </w:r>
    </w:p>
    <w:p w14:paraId="63035212">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6. 《询问笔录》</w:t>
      </w:r>
      <w:r>
        <w:rPr>
          <w:rFonts w:hint="eastAsia" w:ascii="仿宋_GB2312" w:hAnsi="Times New Roman" w:eastAsia="仿宋_GB2312" w:cs="仿宋_GB2312"/>
          <w:color w:val="auto"/>
          <w:sz w:val="32"/>
          <w:highlight w:val="none"/>
          <w:u w:val="none"/>
          <w:lang w:val="en-US" w:eastAsia="zh-CN"/>
        </w:rPr>
        <w:t>（2025年3月3日）</w:t>
      </w:r>
      <w:r>
        <w:rPr>
          <w:rFonts w:hint="default" w:ascii="Times New Roman" w:hAnsi="Times New Roman" w:eastAsia="仿宋_GB2312" w:cs="Times New Roman"/>
          <w:b w:val="0"/>
          <w:bCs w:val="0"/>
          <w:color w:val="auto"/>
          <w:sz w:val="32"/>
          <w:szCs w:val="32"/>
          <w:highlight w:val="none"/>
          <w:lang w:eastAsia="zh-CN"/>
        </w:rPr>
        <w:t>1份，证明当事人存在使用检定不合格的电子计价秤的事实；</w:t>
      </w:r>
    </w:p>
    <w:p w14:paraId="166734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default" w:ascii="Times New Roman" w:hAnsi="Times New Roman" w:eastAsia="仿宋_GB2312" w:cs="Times New Roman"/>
          <w:b w:val="0"/>
          <w:bCs w:val="0"/>
          <w:color w:val="auto"/>
          <w:sz w:val="32"/>
          <w:szCs w:val="32"/>
          <w:highlight w:val="none"/>
          <w:lang w:eastAsia="zh-CN"/>
        </w:rPr>
        <w:t xml:space="preserve"> 以上</w:t>
      </w:r>
      <w:r>
        <w:rPr>
          <w:rFonts w:hint="eastAsia" w:ascii="仿宋_GB2312" w:hAnsi="Times New Roman" w:eastAsia="仿宋_GB2312" w:cs="仿宋_GB2312"/>
          <w:color w:val="auto"/>
          <w:sz w:val="32"/>
          <w:highlight w:val="none"/>
          <w:u w:val="none"/>
          <w:lang w:val="en-US" w:eastAsia="zh-CN"/>
        </w:rPr>
        <w:t>1、2、4、5、6</w:t>
      </w:r>
      <w:r>
        <w:rPr>
          <w:rFonts w:hint="default" w:ascii="Times New Roman" w:hAnsi="Times New Roman" w:eastAsia="仿宋_GB2312" w:cs="Times New Roman"/>
          <w:b w:val="0"/>
          <w:bCs w:val="0"/>
          <w:color w:val="auto"/>
          <w:sz w:val="32"/>
          <w:szCs w:val="32"/>
          <w:highlight w:val="none"/>
          <w:lang w:eastAsia="zh-CN"/>
        </w:rPr>
        <w:t>证据均由当事人签名确认。</w:t>
      </w:r>
    </w:p>
    <w:p w14:paraId="3B69EA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2025年7月11日我局向当事人送达了《行政处罚告知书》（柳北市监罚告〔2025〕113号），告知当事人我局拟作出行政处罚的事实、理由、依据、处罚内容及享有的权利。当事人在法定期限内未提出陈述、申辩。</w:t>
      </w:r>
    </w:p>
    <w:p w14:paraId="0C3AE3B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14:paraId="0CB5F2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4E592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1.没收上述检定不合格</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电子计价秤</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b w:val="0"/>
          <w:bCs/>
          <w:color w:val="auto"/>
          <w:sz w:val="32"/>
          <w:szCs w:val="32"/>
          <w:u w:val="none"/>
          <w:lang w:eastAsia="zh-CN"/>
        </w:rPr>
        <w:t>上海宝康电子有限公司经销</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1台；</w:t>
      </w:r>
    </w:p>
    <w:p w14:paraId="15B0C08C">
      <w:pPr>
        <w:spacing w:line="520" w:lineRule="exact"/>
        <w:ind w:firstLine="640"/>
        <w:rPr>
          <w:rFonts w:hint="eastAsia" w:ascii="仿宋_GB2312" w:hAnsi="Times New Roman" w:eastAsia="仿宋_GB2312" w:cs="仿宋_GB2312"/>
          <w:color w:val="auto"/>
          <w:sz w:val="32"/>
          <w:u w:val="none"/>
          <w:lang w:val="en-US" w:eastAsia="zh-CN"/>
        </w:rPr>
      </w:pPr>
      <w:r>
        <w:rPr>
          <w:rFonts w:hint="default" w:ascii="Times New Roman" w:hAnsi="Times New Roman" w:eastAsia="仿宋_GB2312" w:cs="Times New Roman"/>
          <w:color w:val="auto"/>
          <w:sz w:val="32"/>
          <w:szCs w:val="32"/>
          <w:u w:val="none"/>
        </w:rPr>
        <w:t>2.罚款人民币壹仟元整（¥1</w:t>
      </w:r>
      <w:r>
        <w:rPr>
          <w:rFonts w:hint="eastAsia"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u w:val="none"/>
        </w:rPr>
        <w:t>00.00）。</w:t>
      </w:r>
    </w:p>
    <w:p w14:paraId="36CF2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4E6FF5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7E6FBA68">
      <w:pPr>
        <w:keepNext w:val="0"/>
        <w:keepLines w:val="0"/>
        <w:pageBreakBefore w:val="0"/>
        <w:widowControl/>
        <w:kinsoku/>
        <w:wordWrap/>
        <w:overflowPunct/>
        <w:topLinePunct w:val="0"/>
        <w:bidi w:val="0"/>
        <w:snapToGrid w:val="0"/>
        <w:spacing w:line="600" w:lineRule="exact"/>
        <w:jc w:val="left"/>
        <w:rPr>
          <w:rFonts w:ascii="Times New Roman" w:hAnsi="Times New Roman" w:eastAsia="仿宋_GB2312" w:cs="仿宋_GB2312"/>
          <w:color w:val="auto"/>
          <w:sz w:val="32"/>
          <w:szCs w:val="32"/>
        </w:rPr>
      </w:pPr>
    </w:p>
    <w:p w14:paraId="19A08723">
      <w:pPr>
        <w:pStyle w:val="8"/>
        <w:rPr>
          <w:rFonts w:ascii="Times New Roman" w:hAnsi="Times New Roman" w:eastAsia="仿宋_GB2312" w:cs="仿宋_GB2312"/>
          <w:color w:val="auto"/>
          <w:sz w:val="32"/>
          <w:szCs w:val="32"/>
        </w:rPr>
      </w:pPr>
    </w:p>
    <w:p w14:paraId="2D317986">
      <w:pPr>
        <w:keepNext w:val="0"/>
        <w:keepLines w:val="0"/>
        <w:pageBreakBefore w:val="0"/>
        <w:kinsoku/>
        <w:wordWrap/>
        <w:overflowPunct/>
        <w:topLinePunct w:val="0"/>
        <w:bidi w:val="0"/>
        <w:spacing w:line="600" w:lineRule="exact"/>
        <w:ind w:right="640" w:firstLine="601"/>
        <w:jc w:val="right"/>
        <w:rPr>
          <w:rFonts w:ascii="Times New Roman" w:hAnsi="Times New Roman" w:eastAsia="仿宋_GB2312" w:cs="仿宋"/>
          <w:color w:val="auto"/>
          <w:sz w:val="32"/>
          <w:szCs w:val="32"/>
        </w:rPr>
      </w:pPr>
      <w:bookmarkStart w:id="7" w:name="DYNAMIC—DWXX—tAj_dwmc—2"/>
      <w:r>
        <w:rPr>
          <w:rFonts w:hint="eastAsia" w:ascii="Times New Roman" w:hAnsi="Times New Roman" w:eastAsia="仿宋_GB2312" w:cs="仿宋"/>
          <w:color w:val="auto"/>
          <w:sz w:val="32"/>
          <w:lang w:val="en-US" w:eastAsia="zh-CN"/>
        </w:rPr>
        <w:t xml:space="preserve">  </w:t>
      </w:r>
      <w:r>
        <w:rPr>
          <w:rFonts w:hint="eastAsia" w:ascii="Times New Roman" w:hAnsi="Times New Roman" w:eastAsia="仿宋_GB2312" w:cs="仿宋"/>
          <w:color w:val="auto"/>
          <w:sz w:val="32"/>
          <w:lang w:eastAsia="zh-CN"/>
        </w:rPr>
        <w:t>柳州市</w:t>
      </w:r>
      <w:r>
        <w:rPr>
          <w:rFonts w:hint="eastAsia" w:ascii="Times New Roman" w:hAnsi="Times New Roman" w:eastAsia="仿宋_GB2312" w:cs="仿宋"/>
          <w:color w:val="auto"/>
          <w:sz w:val="32"/>
        </w:rPr>
        <w:t>柳北区市场监督管理局</w:t>
      </w:r>
      <w:bookmarkEnd w:id="7"/>
    </w:p>
    <w:p w14:paraId="47BDDD68">
      <w:pPr>
        <w:pStyle w:val="8"/>
        <w:keepNext w:val="0"/>
        <w:keepLines w:val="0"/>
        <w:pageBreakBefore w:val="0"/>
        <w:kinsoku/>
        <w:wordWrap/>
        <w:overflowPunct/>
        <w:topLinePunct w:val="0"/>
        <w:bidi w:val="0"/>
        <w:spacing w:line="600" w:lineRule="exact"/>
        <w:ind w:firstLine="5120" w:firstLineChars="1600"/>
        <w:rPr>
          <w:rFonts w:hint="eastAsia" w:ascii="黑体" w:hAnsi="黑体" w:eastAsia="黑体" w:cs="黑体"/>
          <w:b w:val="0"/>
          <w:bCs w:val="0"/>
          <w:color w:val="auto"/>
          <w:w w:val="98"/>
          <w:sz w:val="32"/>
          <w:szCs w:val="32"/>
          <w:u w:val="none"/>
          <w:lang w:eastAsia="zh-CN"/>
        </w:rPr>
      </w:pPr>
      <w:bookmarkStart w:id="8" w:name="CALCULATE—TIME—NOW"/>
      <w:r>
        <w:rPr>
          <w:rFonts w:hint="eastAsia" w:ascii="仿宋_GB2312" w:hAnsi="Times New Roman" w:eastAsia="仿宋_GB2312" w:cs="仿宋"/>
          <w:color w:val="auto"/>
          <w:sz w:val="32"/>
        </w:rPr>
        <w:t>2025年0</w:t>
      </w:r>
      <w:r>
        <w:rPr>
          <w:rFonts w:hint="eastAsia" w:hAnsi="Times New Roman" w:cs="仿宋"/>
          <w:color w:val="auto"/>
          <w:sz w:val="32"/>
          <w:lang w:val="en-US" w:eastAsia="zh-CN"/>
        </w:rPr>
        <w:t>7</w:t>
      </w:r>
      <w:r>
        <w:rPr>
          <w:rFonts w:hint="eastAsia" w:ascii="仿宋_GB2312" w:hAnsi="Times New Roman" w:eastAsia="仿宋_GB2312" w:cs="仿宋"/>
          <w:color w:val="auto"/>
          <w:sz w:val="32"/>
        </w:rPr>
        <w:t>月</w:t>
      </w:r>
      <w:r>
        <w:rPr>
          <w:rFonts w:hint="eastAsia" w:hAnsi="Times New Roman" w:cs="仿宋"/>
          <w:color w:val="auto"/>
          <w:sz w:val="32"/>
          <w:lang w:val="en-US" w:eastAsia="zh-CN"/>
        </w:rPr>
        <w:t>25</w:t>
      </w:r>
      <w:bookmarkStart w:id="9" w:name="_GoBack"/>
      <w:bookmarkEnd w:id="9"/>
      <w:r>
        <w:rPr>
          <w:rFonts w:hint="eastAsia" w:ascii="仿宋_GB2312" w:hAnsi="Times New Roman" w:eastAsia="仿宋_GB2312" w:cs="仿宋"/>
          <w:color w:val="auto"/>
          <w:sz w:val="32"/>
        </w:rPr>
        <w:t>日</w:t>
      </w:r>
      <w:bookmarkEnd w:id="8"/>
    </w:p>
    <w:p w14:paraId="712F05F2">
      <w:pPr>
        <w:pStyle w:val="8"/>
        <w:rPr>
          <w:rFonts w:hint="eastAsia" w:ascii="黑体" w:hAnsi="黑体" w:eastAsia="黑体" w:cs="黑体"/>
          <w:b w:val="0"/>
          <w:bCs w:val="0"/>
          <w:color w:val="auto"/>
          <w:w w:val="98"/>
          <w:sz w:val="32"/>
          <w:szCs w:val="32"/>
          <w:u w:val="none"/>
          <w:lang w:eastAsia="zh-CN"/>
        </w:rPr>
      </w:pPr>
    </w:p>
    <w:p w14:paraId="1378CB05">
      <w:pPr>
        <w:pStyle w:val="8"/>
        <w:rPr>
          <w:rFonts w:hint="eastAsia" w:ascii="黑体" w:hAnsi="黑体" w:eastAsia="黑体" w:cs="黑体"/>
          <w:b w:val="0"/>
          <w:bCs w:val="0"/>
          <w:color w:val="auto"/>
          <w:w w:val="98"/>
          <w:sz w:val="32"/>
          <w:szCs w:val="32"/>
          <w:u w:val="none"/>
          <w:lang w:eastAsia="zh-CN"/>
        </w:rPr>
      </w:pPr>
    </w:p>
    <w:p w14:paraId="14AE8251">
      <w:pPr>
        <w:pStyle w:val="8"/>
        <w:rPr>
          <w:rFonts w:hint="eastAsia" w:ascii="黑体" w:hAnsi="黑体" w:eastAsia="黑体" w:cs="黑体"/>
          <w:b w:val="0"/>
          <w:bCs w:val="0"/>
          <w:color w:val="auto"/>
          <w:w w:val="98"/>
          <w:sz w:val="32"/>
          <w:szCs w:val="32"/>
          <w:u w:val="none"/>
          <w:lang w:eastAsia="zh-CN"/>
        </w:rPr>
      </w:pPr>
    </w:p>
    <w:p w14:paraId="0D3B04FD">
      <w:pPr>
        <w:pStyle w:val="8"/>
        <w:rPr>
          <w:rFonts w:hint="eastAsia" w:ascii="黑体" w:hAnsi="黑体" w:eastAsia="黑体" w:cs="黑体"/>
          <w:b w:val="0"/>
          <w:bCs w:val="0"/>
          <w:color w:val="auto"/>
          <w:w w:val="98"/>
          <w:sz w:val="32"/>
          <w:szCs w:val="32"/>
          <w:u w:val="none"/>
          <w:lang w:eastAsia="zh-CN"/>
        </w:rPr>
      </w:pPr>
    </w:p>
    <w:p w14:paraId="4FA2FBDF">
      <w:pPr>
        <w:pStyle w:val="8"/>
        <w:rPr>
          <w:rFonts w:hint="eastAsia" w:ascii="黑体" w:hAnsi="黑体" w:eastAsia="黑体" w:cs="黑体"/>
          <w:b w:val="0"/>
          <w:bCs w:val="0"/>
          <w:color w:val="auto"/>
          <w:w w:val="98"/>
          <w:sz w:val="32"/>
          <w:szCs w:val="32"/>
          <w:u w:val="none"/>
          <w:lang w:eastAsia="zh-CN"/>
        </w:rPr>
      </w:pPr>
    </w:p>
    <w:p w14:paraId="3CBA6F20">
      <w:pPr>
        <w:pStyle w:val="8"/>
        <w:rPr>
          <w:rFonts w:hint="eastAsia" w:ascii="黑体" w:hAnsi="黑体" w:eastAsia="黑体" w:cs="黑体"/>
          <w:b w:val="0"/>
          <w:bCs w:val="0"/>
          <w:color w:val="auto"/>
          <w:w w:val="98"/>
          <w:sz w:val="32"/>
          <w:szCs w:val="32"/>
          <w:u w:val="none"/>
          <w:lang w:eastAsia="zh-CN"/>
        </w:rPr>
      </w:pPr>
    </w:p>
    <w:p w14:paraId="1EF9BAFD">
      <w:pPr>
        <w:keepNext w:val="0"/>
        <w:keepLines w:val="0"/>
        <w:pageBreakBefore w:val="0"/>
        <w:widowControl w:val="0"/>
        <w:kinsoku/>
        <w:wordWrap/>
        <w:overflowPunct/>
        <w:topLinePunct w:val="0"/>
        <w:autoSpaceDE/>
        <w:autoSpaceDN/>
        <w:bidi w:val="0"/>
        <w:adjustRightInd/>
        <w:snapToGrid/>
        <w:spacing w:line="6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1C287D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E6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CCF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3CCF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WRjMDlmNjczOThjYjJkYzFhNjVlNjUxZDAyOTIifQ=="/>
    <w:docVar w:name="KSO_WPS_MARK_KEY" w:val="e0e0a264-4759-4521-88aa-fd686ed44552"/>
  </w:docVars>
  <w:rsids>
    <w:rsidRoot w:val="5BA419F7"/>
    <w:rsid w:val="00193C35"/>
    <w:rsid w:val="0032134F"/>
    <w:rsid w:val="008724AB"/>
    <w:rsid w:val="00B70E3B"/>
    <w:rsid w:val="00E041FD"/>
    <w:rsid w:val="011C07DF"/>
    <w:rsid w:val="011D4062"/>
    <w:rsid w:val="0183728A"/>
    <w:rsid w:val="029D54FF"/>
    <w:rsid w:val="02B83402"/>
    <w:rsid w:val="046837CA"/>
    <w:rsid w:val="04881622"/>
    <w:rsid w:val="04BA1C3F"/>
    <w:rsid w:val="04CD463F"/>
    <w:rsid w:val="04D74A36"/>
    <w:rsid w:val="04DD3789"/>
    <w:rsid w:val="04FA4431"/>
    <w:rsid w:val="062E1218"/>
    <w:rsid w:val="06BAE61F"/>
    <w:rsid w:val="071C7669"/>
    <w:rsid w:val="072E2862"/>
    <w:rsid w:val="0776795A"/>
    <w:rsid w:val="07A73C1C"/>
    <w:rsid w:val="07DD40F6"/>
    <w:rsid w:val="07FE68EB"/>
    <w:rsid w:val="08076446"/>
    <w:rsid w:val="080E48C5"/>
    <w:rsid w:val="08365B64"/>
    <w:rsid w:val="08747AEC"/>
    <w:rsid w:val="08F23066"/>
    <w:rsid w:val="098E3ABC"/>
    <w:rsid w:val="09A61163"/>
    <w:rsid w:val="09F6548B"/>
    <w:rsid w:val="0A0B6909"/>
    <w:rsid w:val="0A0C438A"/>
    <w:rsid w:val="0A721B30"/>
    <w:rsid w:val="0A9D6611"/>
    <w:rsid w:val="0AA44133"/>
    <w:rsid w:val="0B22091D"/>
    <w:rsid w:val="0B9D06F5"/>
    <w:rsid w:val="0C0A63CF"/>
    <w:rsid w:val="0C7015F6"/>
    <w:rsid w:val="0CA33BCC"/>
    <w:rsid w:val="0CBB2886"/>
    <w:rsid w:val="0CF71776"/>
    <w:rsid w:val="0D096D81"/>
    <w:rsid w:val="0D3861B5"/>
    <w:rsid w:val="0DC444A6"/>
    <w:rsid w:val="0E937842"/>
    <w:rsid w:val="0FA12732"/>
    <w:rsid w:val="0FFFE86C"/>
    <w:rsid w:val="103E22C5"/>
    <w:rsid w:val="106C3100"/>
    <w:rsid w:val="10F26BDC"/>
    <w:rsid w:val="110F7D08"/>
    <w:rsid w:val="1184614B"/>
    <w:rsid w:val="11A021F8"/>
    <w:rsid w:val="12516798"/>
    <w:rsid w:val="1350279A"/>
    <w:rsid w:val="139E1CBE"/>
    <w:rsid w:val="14203063"/>
    <w:rsid w:val="143E1E38"/>
    <w:rsid w:val="14F66BD6"/>
    <w:rsid w:val="152E563E"/>
    <w:rsid w:val="15360ADA"/>
    <w:rsid w:val="1537655C"/>
    <w:rsid w:val="15B93156"/>
    <w:rsid w:val="165035D4"/>
    <w:rsid w:val="1704763E"/>
    <w:rsid w:val="173405A0"/>
    <w:rsid w:val="17B865FB"/>
    <w:rsid w:val="18325353"/>
    <w:rsid w:val="188A30D0"/>
    <w:rsid w:val="18B229B2"/>
    <w:rsid w:val="18C8188B"/>
    <w:rsid w:val="18E81E64"/>
    <w:rsid w:val="19FE4517"/>
    <w:rsid w:val="1A5C705F"/>
    <w:rsid w:val="1A6516DC"/>
    <w:rsid w:val="1AAC5768"/>
    <w:rsid w:val="1ABE5DA1"/>
    <w:rsid w:val="1B317B2B"/>
    <w:rsid w:val="1B7802A0"/>
    <w:rsid w:val="1BB60C90"/>
    <w:rsid w:val="1BC65F68"/>
    <w:rsid w:val="1BFD04F9"/>
    <w:rsid w:val="1C0E209A"/>
    <w:rsid w:val="1C6411A2"/>
    <w:rsid w:val="1C67350C"/>
    <w:rsid w:val="1E2525B5"/>
    <w:rsid w:val="1E620C67"/>
    <w:rsid w:val="1EE03AB4"/>
    <w:rsid w:val="1F2B5D07"/>
    <w:rsid w:val="1F94485C"/>
    <w:rsid w:val="1FD31F15"/>
    <w:rsid w:val="20D648C2"/>
    <w:rsid w:val="212C10FB"/>
    <w:rsid w:val="21C40374"/>
    <w:rsid w:val="225F01F3"/>
    <w:rsid w:val="22F55C75"/>
    <w:rsid w:val="23061C85"/>
    <w:rsid w:val="23913DE8"/>
    <w:rsid w:val="24346E74"/>
    <w:rsid w:val="24626694"/>
    <w:rsid w:val="249A209C"/>
    <w:rsid w:val="24E75A37"/>
    <w:rsid w:val="258D6CE0"/>
    <w:rsid w:val="259D070D"/>
    <w:rsid w:val="26761D5F"/>
    <w:rsid w:val="276E08C0"/>
    <w:rsid w:val="278D58F1"/>
    <w:rsid w:val="27F4659B"/>
    <w:rsid w:val="28C049EA"/>
    <w:rsid w:val="28ED236C"/>
    <w:rsid w:val="29F205DF"/>
    <w:rsid w:val="2A9F8649"/>
    <w:rsid w:val="2B1B3EFC"/>
    <w:rsid w:val="2BF15B26"/>
    <w:rsid w:val="2CBD3F75"/>
    <w:rsid w:val="2CC77EF2"/>
    <w:rsid w:val="2CCF5C64"/>
    <w:rsid w:val="2CEA3815"/>
    <w:rsid w:val="2D23171B"/>
    <w:rsid w:val="2DE10173"/>
    <w:rsid w:val="2F2111E1"/>
    <w:rsid w:val="2F327E79"/>
    <w:rsid w:val="2F500EBE"/>
    <w:rsid w:val="2F5E1045"/>
    <w:rsid w:val="2F7CE1EF"/>
    <w:rsid w:val="2FAD21AE"/>
    <w:rsid w:val="2FE8594F"/>
    <w:rsid w:val="2FED7630"/>
    <w:rsid w:val="300D096E"/>
    <w:rsid w:val="3015257C"/>
    <w:rsid w:val="30BA5A7F"/>
    <w:rsid w:val="30DB5683"/>
    <w:rsid w:val="31863ECE"/>
    <w:rsid w:val="31EB1674"/>
    <w:rsid w:val="31EC70F5"/>
    <w:rsid w:val="322F416D"/>
    <w:rsid w:val="32B85544"/>
    <w:rsid w:val="32F3303B"/>
    <w:rsid w:val="330E67C6"/>
    <w:rsid w:val="33835F12"/>
    <w:rsid w:val="34BD4037"/>
    <w:rsid w:val="351D0231"/>
    <w:rsid w:val="353B4E25"/>
    <w:rsid w:val="3585615B"/>
    <w:rsid w:val="35E96681"/>
    <w:rsid w:val="361C25FD"/>
    <w:rsid w:val="364F18A8"/>
    <w:rsid w:val="368E5656"/>
    <w:rsid w:val="36B54AD0"/>
    <w:rsid w:val="36D9180C"/>
    <w:rsid w:val="377FBB27"/>
    <w:rsid w:val="378D0FB6"/>
    <w:rsid w:val="37E706C5"/>
    <w:rsid w:val="37F16547"/>
    <w:rsid w:val="384E136E"/>
    <w:rsid w:val="38B44595"/>
    <w:rsid w:val="38B63DA7"/>
    <w:rsid w:val="38E27632"/>
    <w:rsid w:val="39191D3B"/>
    <w:rsid w:val="39462917"/>
    <w:rsid w:val="397F4F63"/>
    <w:rsid w:val="39E65C0C"/>
    <w:rsid w:val="3A4E178D"/>
    <w:rsid w:val="3A883217"/>
    <w:rsid w:val="3B541666"/>
    <w:rsid w:val="3BF97ECA"/>
    <w:rsid w:val="3C2965F0"/>
    <w:rsid w:val="3C4A2E77"/>
    <w:rsid w:val="3D217658"/>
    <w:rsid w:val="3D7C44EE"/>
    <w:rsid w:val="3DE21C94"/>
    <w:rsid w:val="3E49293D"/>
    <w:rsid w:val="3E62579A"/>
    <w:rsid w:val="3EAE00E3"/>
    <w:rsid w:val="3F150D8C"/>
    <w:rsid w:val="3F2604DF"/>
    <w:rsid w:val="3F3106BC"/>
    <w:rsid w:val="3F6783E4"/>
    <w:rsid w:val="3FFF82D4"/>
    <w:rsid w:val="402E7C06"/>
    <w:rsid w:val="40FE5F8F"/>
    <w:rsid w:val="410A07A5"/>
    <w:rsid w:val="41793A79"/>
    <w:rsid w:val="422830F8"/>
    <w:rsid w:val="42454447"/>
    <w:rsid w:val="425049CE"/>
    <w:rsid w:val="42AB766E"/>
    <w:rsid w:val="42AC50F0"/>
    <w:rsid w:val="43112896"/>
    <w:rsid w:val="43775ABD"/>
    <w:rsid w:val="438E3D63"/>
    <w:rsid w:val="43B219DC"/>
    <w:rsid w:val="43C639D7"/>
    <w:rsid w:val="44433F0D"/>
    <w:rsid w:val="4444198E"/>
    <w:rsid w:val="44A97134"/>
    <w:rsid w:val="44AA067F"/>
    <w:rsid w:val="45CA7D80"/>
    <w:rsid w:val="464239D2"/>
    <w:rsid w:val="467F3837"/>
    <w:rsid w:val="468C64C8"/>
    <w:rsid w:val="470E1E21"/>
    <w:rsid w:val="47515D8E"/>
    <w:rsid w:val="475B6938"/>
    <w:rsid w:val="47745049"/>
    <w:rsid w:val="48C10000"/>
    <w:rsid w:val="48DA5DBD"/>
    <w:rsid w:val="490054B5"/>
    <w:rsid w:val="49D97D36"/>
    <w:rsid w:val="4A2B0A3A"/>
    <w:rsid w:val="4A5C478F"/>
    <w:rsid w:val="4A9F106C"/>
    <w:rsid w:val="4AE96ACE"/>
    <w:rsid w:val="4B0A02C2"/>
    <w:rsid w:val="4B706B53"/>
    <w:rsid w:val="4BBE3774"/>
    <w:rsid w:val="4BD71D7A"/>
    <w:rsid w:val="4BD777FC"/>
    <w:rsid w:val="4C0201EE"/>
    <w:rsid w:val="4C02380F"/>
    <w:rsid w:val="4CA301C9"/>
    <w:rsid w:val="4CC8271B"/>
    <w:rsid w:val="4D0933F1"/>
    <w:rsid w:val="4DD51840"/>
    <w:rsid w:val="4DD672C1"/>
    <w:rsid w:val="4E08156A"/>
    <w:rsid w:val="4E3B4A67"/>
    <w:rsid w:val="4E4C2032"/>
    <w:rsid w:val="4E4D4B6A"/>
    <w:rsid w:val="4EA25710"/>
    <w:rsid w:val="4F072EB6"/>
    <w:rsid w:val="4F6420D6"/>
    <w:rsid w:val="4F6F3B5F"/>
    <w:rsid w:val="514327E1"/>
    <w:rsid w:val="516D3625"/>
    <w:rsid w:val="51A95A08"/>
    <w:rsid w:val="51B179CB"/>
    <w:rsid w:val="51DE383D"/>
    <w:rsid w:val="520F0C30"/>
    <w:rsid w:val="521C0925"/>
    <w:rsid w:val="52753E57"/>
    <w:rsid w:val="529F4C9C"/>
    <w:rsid w:val="530449C0"/>
    <w:rsid w:val="53455D74"/>
    <w:rsid w:val="548173AF"/>
    <w:rsid w:val="549D6CE0"/>
    <w:rsid w:val="54F14646"/>
    <w:rsid w:val="552A59CF"/>
    <w:rsid w:val="556101D6"/>
    <w:rsid w:val="562316F8"/>
    <w:rsid w:val="56355AFC"/>
    <w:rsid w:val="566A39AB"/>
    <w:rsid w:val="57013F4B"/>
    <w:rsid w:val="570219CD"/>
    <w:rsid w:val="57075E39"/>
    <w:rsid w:val="5733219C"/>
    <w:rsid w:val="57503162"/>
    <w:rsid w:val="578C1931"/>
    <w:rsid w:val="57C16BC1"/>
    <w:rsid w:val="58025EF8"/>
    <w:rsid w:val="58702637"/>
    <w:rsid w:val="58FF3A11"/>
    <w:rsid w:val="591F0542"/>
    <w:rsid w:val="597F3BD7"/>
    <w:rsid w:val="59AB1DFB"/>
    <w:rsid w:val="5A325088"/>
    <w:rsid w:val="5A332B09"/>
    <w:rsid w:val="5A89344F"/>
    <w:rsid w:val="5AF92E81"/>
    <w:rsid w:val="5AFE34D7"/>
    <w:rsid w:val="5B235C95"/>
    <w:rsid w:val="5B6466FE"/>
    <w:rsid w:val="5B654180"/>
    <w:rsid w:val="5BA419F7"/>
    <w:rsid w:val="5BCA1926"/>
    <w:rsid w:val="5BF91583"/>
    <w:rsid w:val="5BFB2E57"/>
    <w:rsid w:val="5C063E82"/>
    <w:rsid w:val="5D201067"/>
    <w:rsid w:val="5D3C19FB"/>
    <w:rsid w:val="5D6361C4"/>
    <w:rsid w:val="5D7C348F"/>
    <w:rsid w:val="5DC913EB"/>
    <w:rsid w:val="5DD7483B"/>
    <w:rsid w:val="5E5FAB03"/>
    <w:rsid w:val="5EFB2A62"/>
    <w:rsid w:val="5F08663C"/>
    <w:rsid w:val="5F9FEDD5"/>
    <w:rsid w:val="5FBEF003"/>
    <w:rsid w:val="5FDC55D3"/>
    <w:rsid w:val="5FE33914"/>
    <w:rsid w:val="5FFA4D85"/>
    <w:rsid w:val="602422E6"/>
    <w:rsid w:val="61124A7A"/>
    <w:rsid w:val="612E7E8C"/>
    <w:rsid w:val="61402C9C"/>
    <w:rsid w:val="616C4C70"/>
    <w:rsid w:val="61A65EC3"/>
    <w:rsid w:val="62012A77"/>
    <w:rsid w:val="626A7CAD"/>
    <w:rsid w:val="62926DC6"/>
    <w:rsid w:val="63C329BB"/>
    <w:rsid w:val="63DB75A1"/>
    <w:rsid w:val="64900E0A"/>
    <w:rsid w:val="649C61C5"/>
    <w:rsid w:val="64E43803"/>
    <w:rsid w:val="64F64031"/>
    <w:rsid w:val="64F71AB3"/>
    <w:rsid w:val="655C7259"/>
    <w:rsid w:val="658402DE"/>
    <w:rsid w:val="65C22480"/>
    <w:rsid w:val="6608615A"/>
    <w:rsid w:val="662856A8"/>
    <w:rsid w:val="669D12B6"/>
    <w:rsid w:val="66EF4576"/>
    <w:rsid w:val="66F51579"/>
    <w:rsid w:val="675B47A0"/>
    <w:rsid w:val="67976B83"/>
    <w:rsid w:val="67C279C8"/>
    <w:rsid w:val="6827516E"/>
    <w:rsid w:val="69A10B88"/>
    <w:rsid w:val="69B359C4"/>
    <w:rsid w:val="6A8D335E"/>
    <w:rsid w:val="6AD7030F"/>
    <w:rsid w:val="6B2E2EE7"/>
    <w:rsid w:val="6BBD3A50"/>
    <w:rsid w:val="6BCC1BB9"/>
    <w:rsid w:val="6BD9385B"/>
    <w:rsid w:val="6C2446F9"/>
    <w:rsid w:val="6C8A7920"/>
    <w:rsid w:val="6D5E0131"/>
    <w:rsid w:val="6D721FA6"/>
    <w:rsid w:val="6D923254"/>
    <w:rsid w:val="6E04767D"/>
    <w:rsid w:val="6E144A3B"/>
    <w:rsid w:val="6E6950E9"/>
    <w:rsid w:val="6E8973E6"/>
    <w:rsid w:val="6F555835"/>
    <w:rsid w:val="6F732ABB"/>
    <w:rsid w:val="6F9E6F2E"/>
    <w:rsid w:val="6FBA2FDB"/>
    <w:rsid w:val="6FBB0A5D"/>
    <w:rsid w:val="6FEF5D19"/>
    <w:rsid w:val="6FF58B64"/>
    <w:rsid w:val="6FF8F863"/>
    <w:rsid w:val="707C4A6F"/>
    <w:rsid w:val="70CF02CA"/>
    <w:rsid w:val="70FD6960"/>
    <w:rsid w:val="71013020"/>
    <w:rsid w:val="714E48D5"/>
    <w:rsid w:val="71B82AA1"/>
    <w:rsid w:val="71D228BA"/>
    <w:rsid w:val="721F5CC8"/>
    <w:rsid w:val="72601FB5"/>
    <w:rsid w:val="72AA36AE"/>
    <w:rsid w:val="732C0404"/>
    <w:rsid w:val="7376089F"/>
    <w:rsid w:val="7393362B"/>
    <w:rsid w:val="73B734AD"/>
    <w:rsid w:val="75001604"/>
    <w:rsid w:val="756357C0"/>
    <w:rsid w:val="75B2DA43"/>
    <w:rsid w:val="75BD90DB"/>
    <w:rsid w:val="75F0310B"/>
    <w:rsid w:val="76C00A6A"/>
    <w:rsid w:val="76E836A3"/>
    <w:rsid w:val="7794703F"/>
    <w:rsid w:val="77B41AF2"/>
    <w:rsid w:val="77DF8BD4"/>
    <w:rsid w:val="77EFD5CC"/>
    <w:rsid w:val="77FB2266"/>
    <w:rsid w:val="77FFADAC"/>
    <w:rsid w:val="781A4D19"/>
    <w:rsid w:val="7874060E"/>
    <w:rsid w:val="78807F41"/>
    <w:rsid w:val="794C090E"/>
    <w:rsid w:val="794D6390"/>
    <w:rsid w:val="797E1769"/>
    <w:rsid w:val="79AF2BB1"/>
    <w:rsid w:val="7A186D5D"/>
    <w:rsid w:val="7A7F7A06"/>
    <w:rsid w:val="7B3F5E27"/>
    <w:rsid w:val="7B4B5E55"/>
    <w:rsid w:val="7BB1107D"/>
    <w:rsid w:val="7BFD6076"/>
    <w:rsid w:val="7C166823"/>
    <w:rsid w:val="7C7D1A4A"/>
    <w:rsid w:val="7C8E43D6"/>
    <w:rsid w:val="7DA813EB"/>
    <w:rsid w:val="7DFF108F"/>
    <w:rsid w:val="7E0250CA"/>
    <w:rsid w:val="7E163D6A"/>
    <w:rsid w:val="7E6C6CF7"/>
    <w:rsid w:val="7EE14738"/>
    <w:rsid w:val="7EED8AE6"/>
    <w:rsid w:val="7F230A24"/>
    <w:rsid w:val="7F4853E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1932</Words>
  <Characters>2106</Characters>
  <Lines>0</Lines>
  <Paragraphs>0</Paragraphs>
  <TotalTime>21</TotalTime>
  <ScaleCrop>false</ScaleCrop>
  <LinksUpToDate>false</LinksUpToDate>
  <CharactersWithSpaces>2111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2024-12-11T08:59:00Z</cp:lastPrinted>
  <dcterms:modified xsi:type="dcterms:W3CDTF">2025-07-29T08:16:25Z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