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0B75">
      <w:pPr>
        <w:keepNext w:val="0"/>
        <w:keepLines w:val="0"/>
        <w:pageBreakBefore w:val="0"/>
        <w:numPr>
          <w:ilvl w:val="0"/>
          <w:numId w:val="2"/>
        </w:numPr>
        <w:kinsoku/>
        <w:wordWrap/>
        <w:overflowPunct/>
        <w:topLinePunct w:val="0"/>
        <w:bidi w:val="0"/>
        <w:spacing w:line="56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571A458E">
      <w:pPr>
        <w:pStyle w:val="3"/>
        <w:keepNext w:val="0"/>
        <w:keepLines w:val="0"/>
        <w:pageBreakBefore w:val="0"/>
        <w:numPr>
          <w:ilvl w:val="0"/>
          <w:numId w:val="2"/>
        </w:numPr>
        <w:kinsoku/>
        <w:wordWrap/>
        <w:overflowPunct/>
        <w:topLinePunct w:val="0"/>
        <w:bidi w:val="0"/>
        <w:spacing w:before="0" w:after="0" w:line="56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14:paraId="15CB70E4">
      <w:pPr>
        <w:keepNext w:val="0"/>
        <w:keepLines w:val="0"/>
        <w:pageBreakBefore w:val="0"/>
        <w:widowControl/>
        <w:kinsoku/>
        <w:wordWrap/>
        <w:overflowPunct/>
        <w:topLinePunct w:val="0"/>
        <w:bidi w:val="0"/>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w:t>
      </w:r>
      <w:r>
        <w:rPr>
          <w:rFonts w:hint="eastAsia" w:ascii="Times New Roman" w:hAnsi="Times New Roman" w:eastAsia="仿宋_GB2312" w:cs="Mongolian Baiti"/>
          <w:color w:val="auto"/>
          <w:sz w:val="32"/>
          <w:u w:val="none"/>
          <w:lang w:val="en-US" w:eastAsia="zh-CN"/>
        </w:rPr>
        <w:t>5</w:t>
      </w:r>
      <w:r>
        <w:rPr>
          <w:rFonts w:hint="eastAsia" w:ascii="Times New Roman" w:hAnsi="Times New Roman" w:eastAsia="仿宋_GB2312" w:cs="Mongolian Baiti"/>
          <w:color w:val="auto"/>
          <w:sz w:val="32"/>
          <w:u w:val="none"/>
        </w:rPr>
        <w:t>〕</w:t>
      </w:r>
      <w:r>
        <w:rPr>
          <w:rFonts w:hint="eastAsia" w:ascii="Times New Roman" w:hAnsi="Times New Roman" w:eastAsia="仿宋_GB2312" w:cs="Mongolian Baiti"/>
          <w:color w:val="auto"/>
          <w:sz w:val="32"/>
          <w:u w:val="none"/>
          <w:lang w:val="en-US" w:eastAsia="zh-CN"/>
        </w:rPr>
        <w:t>68</w:t>
      </w:r>
      <w:bookmarkStart w:id="7" w:name="_GoBack"/>
      <w:bookmarkEnd w:id="7"/>
      <w:r>
        <w:rPr>
          <w:rFonts w:hint="eastAsia" w:ascii="Times New Roman" w:hAnsi="Times New Roman" w:eastAsia="仿宋_GB2312" w:cs="Mongolian Baiti"/>
          <w:color w:val="auto"/>
          <w:sz w:val="32"/>
          <w:u w:val="none"/>
        </w:rPr>
        <w:t>号</w:t>
      </w:r>
      <w:bookmarkEnd w:id="2"/>
    </w:p>
    <w:p w14:paraId="42ECCD08">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14:paraId="1A3CCF37">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 w:eastAsia="仿宋_GB2312" w:cs="仿宋"/>
          <w:b w:val="0"/>
          <w:bCs/>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当事人：韦炯文</w:t>
      </w:r>
    </w:p>
    <w:p w14:paraId="0337B6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性别：男</w:t>
      </w:r>
    </w:p>
    <w:p w14:paraId="3EE1E9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民族：汉族</w:t>
      </w:r>
    </w:p>
    <w:p w14:paraId="586B83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出生日期：</w:t>
      </w:r>
      <w:r>
        <w:rPr>
          <w:rFonts w:hint="eastAsia" w:ascii="仿宋_GB2312" w:hAnsi="仿宋" w:eastAsia="仿宋_GB2312" w:cs="仿宋"/>
          <w:color w:val="auto"/>
          <w:sz w:val="32"/>
          <w:szCs w:val="32"/>
          <w:u w:val="none"/>
          <w:lang w:val="en-US" w:eastAsia="zh-CN"/>
        </w:rPr>
        <w:t>*</w:t>
      </w:r>
    </w:p>
    <w:p w14:paraId="2004D8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 w:eastAsia="仿宋_GB2312"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ascii="仿宋_GB2312" w:hAnsi="仿宋" w:eastAsia="仿宋_GB2312" w:cs="仿宋"/>
          <w:color w:val="auto"/>
          <w:sz w:val="32"/>
          <w:szCs w:val="32"/>
          <w:u w:val="none"/>
          <w:lang w:val="en-US" w:eastAsia="zh-CN"/>
        </w:rPr>
        <w:t>*</w:t>
      </w:r>
    </w:p>
    <w:p w14:paraId="6B7765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联系电话：*</w:t>
      </w:r>
    </w:p>
    <w:p w14:paraId="76B964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住址：</w:t>
      </w:r>
      <w:r>
        <w:rPr>
          <w:rFonts w:hint="eastAsia" w:ascii="仿宋_GB2312" w:hAnsi="仿宋" w:eastAsia="仿宋_GB2312" w:cs="仿宋"/>
          <w:color w:val="auto"/>
          <w:sz w:val="32"/>
          <w:szCs w:val="32"/>
          <w:u w:val="none"/>
          <w:lang w:val="en-US" w:eastAsia="zh-CN"/>
        </w:rPr>
        <w:t>*</w:t>
      </w:r>
    </w:p>
    <w:p w14:paraId="2FF872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7B18347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bookmarkStart w:id="3" w:name="OLE_LINK3"/>
      <w:r>
        <w:rPr>
          <w:rFonts w:hint="eastAsia" w:ascii="仿宋_GB2312" w:hAnsi="Times New Roman" w:eastAsia="仿宋_GB2312" w:cs="仿宋_GB2312"/>
          <w:color w:val="auto"/>
          <w:sz w:val="32"/>
          <w:u w:val="none"/>
          <w:lang w:val="en-US" w:eastAsia="zh-CN"/>
        </w:rPr>
        <w:t>我局执法人员于2024年9月3日对当事人进行检查，发现当事人在经营活动中用于贸易结算的一台电子计价秤（</w:t>
      </w:r>
      <w:r>
        <w:rPr>
          <w:rFonts w:hint="eastAsia" w:ascii="仿宋_GB2312" w:hAnsi="仿宋" w:eastAsia="仿宋_GB2312" w:cs="仿宋"/>
          <w:b w:val="0"/>
          <w:bCs/>
          <w:color w:val="auto"/>
          <w:sz w:val="32"/>
          <w:szCs w:val="32"/>
          <w:u w:val="none"/>
          <w:lang w:val="en-US" w:eastAsia="zh-CN"/>
        </w:rPr>
        <w:t>出厂编号：3740，*工贸有限公司</w:t>
      </w:r>
      <w:r>
        <w:rPr>
          <w:rFonts w:hint="eastAsia" w:ascii="仿宋_GB2312" w:hAnsi="Times New Roman" w:eastAsia="仿宋_GB2312" w:cs="仿宋_GB2312"/>
          <w:color w:val="auto"/>
          <w:sz w:val="32"/>
          <w:u w:val="none"/>
          <w:lang w:val="en-US" w:eastAsia="zh-CN"/>
        </w:rPr>
        <w:t>），放置1kg标准砝码称重时，</w:t>
      </w:r>
      <w:r>
        <w:rPr>
          <w:rFonts w:hint="eastAsia" w:ascii="仿宋_GB2312" w:hAnsi="仿宋" w:eastAsia="仿宋_GB2312" w:cs="仿宋"/>
          <w:b w:val="0"/>
          <w:bCs/>
          <w:color w:val="auto"/>
          <w:sz w:val="32"/>
          <w:szCs w:val="32"/>
          <w:u w:val="none"/>
        </w:rPr>
        <w:t>依次按压该电子秤上“</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rPr>
        <w:t>1”、“</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rPr>
        <w:t>2”、“</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rPr>
        <w:t>3”、“</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lang w:val="en-US" w:eastAsia="zh-CN"/>
        </w:rPr>
        <w:t>4</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lang w:val="en-US" w:eastAsia="zh-CN"/>
        </w:rPr>
        <w:t>5</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lang w:val="en-US" w:eastAsia="zh-CN"/>
        </w:rPr>
        <w:t>6</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lang w:val="en-US" w:eastAsia="zh-CN"/>
        </w:rPr>
        <w:t>7</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单价</w:t>
      </w:r>
      <w:r>
        <w:rPr>
          <w:rFonts w:hint="eastAsia" w:ascii="仿宋_GB2312" w:hAnsi="仿宋" w:eastAsia="仿宋_GB2312" w:cs="仿宋"/>
          <w:b w:val="0"/>
          <w:bCs/>
          <w:color w:val="auto"/>
          <w:sz w:val="32"/>
          <w:szCs w:val="32"/>
          <w:u w:val="none"/>
          <w:lang w:val="en-US" w:eastAsia="zh-CN"/>
        </w:rPr>
        <w:t>8</w:t>
      </w:r>
      <w:r>
        <w:rPr>
          <w:rFonts w:hint="eastAsia" w:ascii="仿宋_GB2312" w:hAnsi="仿宋" w:eastAsia="仿宋_GB2312" w:cs="仿宋"/>
          <w:b w:val="0"/>
          <w:bCs/>
          <w:color w:val="auto"/>
          <w:sz w:val="32"/>
          <w:szCs w:val="32"/>
          <w:u w:val="none"/>
        </w:rPr>
        <w:t>”</w:t>
      </w:r>
      <w:r>
        <w:rPr>
          <w:rFonts w:hint="eastAsia" w:ascii="仿宋_GB2312" w:hAnsi="仿宋" w:eastAsia="仿宋_GB2312" w:cs="仿宋"/>
          <w:b w:val="0"/>
          <w:bCs/>
          <w:color w:val="auto"/>
          <w:sz w:val="32"/>
          <w:szCs w:val="32"/>
          <w:u w:val="none"/>
          <w:lang w:eastAsia="zh-CN"/>
        </w:rPr>
        <w:t>键时</w:t>
      </w:r>
      <w:r>
        <w:rPr>
          <w:rFonts w:hint="eastAsia" w:ascii="仿宋_GB2312" w:hAnsi="仿宋" w:eastAsia="仿宋_GB2312" w:cs="仿宋"/>
          <w:b w:val="0"/>
          <w:bCs/>
          <w:color w:val="auto"/>
          <w:sz w:val="32"/>
          <w:szCs w:val="32"/>
          <w:u w:val="none"/>
        </w:rPr>
        <w:t>，重量依次显示2.100、2.200、2.300、2.400、2.500</w:t>
      </w:r>
      <w:r>
        <w:rPr>
          <w:rFonts w:hint="eastAsia" w:ascii="仿宋_GB2312" w:hAnsi="仿宋" w:eastAsia="仿宋_GB2312" w:cs="仿宋"/>
          <w:b w:val="0"/>
          <w:bCs/>
          <w:color w:val="auto"/>
          <w:sz w:val="32"/>
          <w:szCs w:val="32"/>
          <w:u w:val="none"/>
          <w:lang w:eastAsia="zh-CN"/>
        </w:rPr>
        <w:t>、</w:t>
      </w:r>
      <w:r>
        <w:rPr>
          <w:rFonts w:hint="eastAsia" w:ascii="仿宋_GB2312" w:hAnsi="仿宋" w:eastAsia="仿宋_GB2312" w:cs="仿宋"/>
          <w:b w:val="0"/>
          <w:bCs/>
          <w:color w:val="auto"/>
          <w:sz w:val="32"/>
          <w:szCs w:val="32"/>
          <w:u w:val="none"/>
          <w:lang w:val="en-US" w:eastAsia="zh-CN"/>
        </w:rPr>
        <w:t>2.600、</w:t>
      </w:r>
      <w:r>
        <w:rPr>
          <w:rFonts w:hint="eastAsia" w:ascii="仿宋_GB2312" w:hAnsi="仿宋" w:eastAsia="仿宋_GB2312" w:cs="仿宋"/>
          <w:b w:val="0"/>
          <w:bCs/>
          <w:color w:val="auto"/>
          <w:sz w:val="32"/>
          <w:szCs w:val="32"/>
          <w:u w:val="none"/>
        </w:rPr>
        <w:t>2.</w:t>
      </w:r>
      <w:r>
        <w:rPr>
          <w:rFonts w:hint="eastAsia" w:ascii="仿宋_GB2312" w:hAnsi="仿宋" w:eastAsia="仿宋_GB2312" w:cs="仿宋"/>
          <w:b w:val="0"/>
          <w:bCs/>
          <w:color w:val="auto"/>
          <w:sz w:val="32"/>
          <w:szCs w:val="32"/>
          <w:u w:val="none"/>
          <w:lang w:val="en-US" w:eastAsia="zh-CN"/>
        </w:rPr>
        <w:t>7</w:t>
      </w:r>
      <w:r>
        <w:rPr>
          <w:rFonts w:hint="eastAsia" w:ascii="仿宋_GB2312" w:hAnsi="仿宋" w:eastAsia="仿宋_GB2312" w:cs="仿宋"/>
          <w:b w:val="0"/>
          <w:bCs/>
          <w:color w:val="auto"/>
          <w:sz w:val="32"/>
          <w:szCs w:val="32"/>
          <w:u w:val="none"/>
        </w:rPr>
        <w:t>00</w:t>
      </w:r>
      <w:r>
        <w:rPr>
          <w:rFonts w:hint="eastAsia" w:ascii="仿宋_GB2312" w:hAnsi="仿宋" w:eastAsia="仿宋_GB2312" w:cs="仿宋"/>
          <w:b w:val="0"/>
          <w:bCs/>
          <w:color w:val="auto"/>
          <w:sz w:val="32"/>
          <w:szCs w:val="32"/>
          <w:u w:val="none"/>
          <w:lang w:eastAsia="zh-CN"/>
        </w:rPr>
        <w:t>、</w:t>
      </w:r>
      <w:r>
        <w:rPr>
          <w:rFonts w:hint="eastAsia" w:ascii="仿宋_GB2312" w:hAnsi="仿宋" w:eastAsia="仿宋_GB2312" w:cs="仿宋"/>
          <w:b w:val="0"/>
          <w:bCs/>
          <w:color w:val="auto"/>
          <w:sz w:val="32"/>
          <w:szCs w:val="32"/>
          <w:u w:val="none"/>
          <w:lang w:val="en-US" w:eastAsia="zh-CN"/>
        </w:rPr>
        <w:t>2.800</w:t>
      </w:r>
      <w:r>
        <w:rPr>
          <w:rFonts w:hint="eastAsia" w:ascii="仿宋_GB2312" w:hAnsi="Times New Roman" w:eastAsia="仿宋_GB2312" w:cs="仿宋_GB2312"/>
          <w:color w:val="auto"/>
          <w:sz w:val="32"/>
          <w:u w:val="none"/>
          <w:lang w:val="en-US" w:eastAsia="zh-CN"/>
        </w:rPr>
        <w:t>。当事人涉嫌使用不合格电子计价秤，执法人员现场对该电子计价秤进行抽样送检，</w:t>
      </w:r>
      <w:r>
        <w:rPr>
          <w:rFonts w:hint="eastAsia" w:ascii="仿宋_GB2312" w:hAnsi="仿宋" w:eastAsia="仿宋_GB2312" w:cs="仿宋"/>
          <w:color w:val="auto"/>
          <w:sz w:val="32"/>
          <w:szCs w:val="32"/>
          <w:u w:val="none"/>
          <w:lang w:val="en-US" w:eastAsia="zh-CN"/>
        </w:rPr>
        <w:t>2025年1月17日</w:t>
      </w:r>
      <w:r>
        <w:rPr>
          <w:rFonts w:hint="eastAsia" w:ascii="仿宋_GB2312" w:hAnsi="Times New Roman" w:eastAsia="仿宋_GB2312" w:cs="仿宋_GB2312"/>
          <w:color w:val="auto"/>
          <w:sz w:val="32"/>
          <w:szCs w:val="32"/>
          <w:u w:val="none"/>
          <w:lang w:val="en-US" w:eastAsia="zh-CN"/>
        </w:rPr>
        <w:t>，</w:t>
      </w:r>
      <w:r>
        <w:rPr>
          <w:rFonts w:hint="eastAsia" w:ascii="仿宋_GB2312" w:hAnsi="Times New Roman" w:eastAsia="仿宋_GB2312" w:cs="仿宋_GB2312"/>
          <w:color w:val="auto"/>
          <w:sz w:val="32"/>
          <w:u w:val="none"/>
          <w:lang w:val="en-US" w:eastAsia="zh-CN"/>
        </w:rPr>
        <w:t>我局收到柳州市计量技术测试研究所出具的</w:t>
      </w:r>
      <w:r>
        <w:rPr>
          <w:rFonts w:hint="eastAsia" w:ascii="仿宋_GB2312" w:hAnsi="仿宋" w:eastAsia="仿宋_GB2312" w:cs="仿宋"/>
          <w:color w:val="auto"/>
          <w:sz w:val="32"/>
          <w:szCs w:val="32"/>
          <w:u w:val="none"/>
          <w:lang w:val="en-US" w:eastAsia="zh-CN"/>
        </w:rPr>
        <w:t>证书编号为HLH24090198号的</w:t>
      </w:r>
      <w:r>
        <w:rPr>
          <w:rFonts w:hint="eastAsia" w:ascii="仿宋_GB2312" w:hAnsi="Times New Roman" w:eastAsia="仿宋_GB2312" w:cs="仿宋_GB2312"/>
          <w:color w:val="auto"/>
          <w:sz w:val="32"/>
          <w:u w:val="none"/>
          <w:lang w:val="en-US" w:eastAsia="zh-CN"/>
        </w:rPr>
        <w:t>《检定结果通知书》，检定结论为不合格。2025年1月22日我局向当事人送达了《检定结果告知书》（</w:t>
      </w:r>
      <w:r>
        <w:rPr>
          <w:rFonts w:hint="eastAsia" w:ascii="仿宋_GB2312" w:hAnsi="仿宋" w:eastAsia="仿宋_GB2312" w:cs="仿宋"/>
          <w:color w:val="auto"/>
          <w:sz w:val="32"/>
          <w:szCs w:val="32"/>
          <w:u w:val="none"/>
          <w:lang w:val="en-US" w:eastAsia="zh-CN"/>
        </w:rPr>
        <w:t>柳北市监检鉴结〔2025〕2号）</w:t>
      </w:r>
      <w:r>
        <w:rPr>
          <w:rFonts w:hint="eastAsia" w:ascii="仿宋_GB2312" w:hAnsi="Times New Roman" w:eastAsia="仿宋_GB2312" w:cs="仿宋_GB2312"/>
          <w:color w:val="auto"/>
          <w:sz w:val="32"/>
          <w:u w:val="none"/>
          <w:lang w:val="en-US" w:eastAsia="zh-CN"/>
        </w:rPr>
        <w:t>和上述《检定结果通知书》，当事人现场对检定后退回的电子计价秤进行确认后，执法人员依法对上述电子计价秤采取扣押的行政强制措施。当事人在法定期限内未提出复检申请。2024年9月3日对当事人上述行为进行立案调查。</w:t>
      </w:r>
    </w:p>
    <w:bookmarkEnd w:id="3"/>
    <w:p w14:paraId="0F3A4E3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经查实，当事人2024年9月3日被我局依法查获的，</w:t>
      </w:r>
      <w:r>
        <w:rPr>
          <w:rFonts w:hint="eastAsia" w:ascii="仿宋_GB2312" w:hAnsi="仿宋" w:eastAsia="仿宋_GB2312" w:cs="仿宋"/>
          <w:color w:val="auto"/>
          <w:sz w:val="32"/>
          <w:szCs w:val="32"/>
          <w:u w:val="none"/>
          <w:lang w:val="en-US" w:eastAsia="zh-CN"/>
        </w:rPr>
        <w:t>在柳州市柳北区白沙农贸综合市场</w:t>
      </w:r>
      <w:r>
        <w:rPr>
          <w:rFonts w:hint="eastAsia" w:ascii="仿宋_GB2312" w:hAnsi="仿宋" w:eastAsia="仿宋_GB2312" w:cs="仿宋"/>
          <w:color w:val="auto"/>
          <w:spacing w:val="-8"/>
          <w:sz w:val="32"/>
          <w:szCs w:val="32"/>
          <w:u w:val="none"/>
          <w:lang w:val="en-US" w:eastAsia="zh-CN"/>
        </w:rPr>
        <w:t>鱼行</w:t>
      </w:r>
      <w:r>
        <w:rPr>
          <w:rFonts w:hint="eastAsia" w:ascii="仿宋_GB2312" w:hAnsi="仿宋" w:eastAsia="仿宋_GB2312" w:cs="仿宋"/>
          <w:color w:val="auto"/>
          <w:sz w:val="32"/>
          <w:szCs w:val="32"/>
          <w:u w:val="none"/>
          <w:lang w:val="en-US" w:eastAsia="zh-CN"/>
        </w:rPr>
        <w:t>12排1号</w:t>
      </w:r>
      <w:r>
        <w:rPr>
          <w:rFonts w:hint="eastAsia" w:ascii="仿宋_GB2312" w:hAnsi="仿宋" w:eastAsia="仿宋_GB2312" w:cs="仿宋"/>
          <w:b w:val="0"/>
          <w:bCs/>
          <w:color w:val="auto"/>
          <w:sz w:val="32"/>
          <w:szCs w:val="32"/>
          <w:u w:val="none"/>
          <w:lang w:eastAsia="zh-CN"/>
        </w:rPr>
        <w:t>从事活鱼等水产品</w:t>
      </w:r>
      <w:r>
        <w:rPr>
          <w:rFonts w:hint="eastAsia" w:ascii="仿宋_GB2312" w:hAnsi="仿宋" w:eastAsia="仿宋_GB2312" w:cs="仿宋"/>
          <w:color w:val="auto"/>
          <w:sz w:val="32"/>
          <w:szCs w:val="32"/>
          <w:u w:val="none"/>
          <w:lang w:val="en-US" w:eastAsia="zh-CN"/>
        </w:rPr>
        <w:t>经营活动</w:t>
      </w:r>
      <w:r>
        <w:rPr>
          <w:rFonts w:hint="eastAsia" w:ascii="仿宋_GB2312" w:hAnsi="Times New Roman" w:eastAsia="仿宋_GB2312" w:cs="仿宋_GB2312"/>
          <w:color w:val="auto"/>
          <w:sz w:val="32"/>
          <w:szCs w:val="32"/>
          <w:u w:val="none"/>
          <w:lang w:val="en-US" w:eastAsia="zh-CN"/>
        </w:rPr>
        <w:t>中用于贸易结算的一台电子计价秤</w:t>
      </w:r>
      <w:r>
        <w:rPr>
          <w:rFonts w:hint="eastAsia" w:ascii="仿宋_GB2312" w:hAnsi="Times New Roman" w:eastAsia="仿宋_GB2312" w:cs="仿宋_GB2312"/>
          <w:color w:val="auto"/>
          <w:sz w:val="32"/>
          <w:u w:val="none"/>
          <w:lang w:val="en-US" w:eastAsia="zh-CN"/>
        </w:rPr>
        <w:t>（</w:t>
      </w:r>
      <w:r>
        <w:rPr>
          <w:rFonts w:hint="eastAsia" w:ascii="仿宋_GB2312" w:hAnsi="仿宋" w:eastAsia="仿宋_GB2312" w:cs="仿宋"/>
          <w:b w:val="0"/>
          <w:bCs/>
          <w:color w:val="auto"/>
          <w:sz w:val="32"/>
          <w:szCs w:val="32"/>
          <w:u w:val="none"/>
          <w:lang w:val="en-US" w:eastAsia="zh-CN"/>
        </w:rPr>
        <w:t>出厂编号：3740，*工贸有限公司</w:t>
      </w:r>
      <w:r>
        <w:rPr>
          <w:rFonts w:hint="eastAsia" w:ascii="仿宋_GB2312" w:hAnsi="Times New Roman" w:eastAsia="仿宋_GB2312" w:cs="仿宋_GB2312"/>
          <w:color w:val="auto"/>
          <w:sz w:val="32"/>
          <w:u w:val="none"/>
          <w:lang w:val="en-US" w:eastAsia="zh-CN"/>
        </w:rPr>
        <w:t>）</w:t>
      </w:r>
      <w:r>
        <w:rPr>
          <w:rFonts w:hint="eastAsia" w:ascii="仿宋_GB2312" w:hAnsi="Times New Roman" w:eastAsia="仿宋_GB2312" w:cs="仿宋_GB2312"/>
          <w:color w:val="auto"/>
          <w:sz w:val="32"/>
          <w:szCs w:val="32"/>
          <w:u w:val="none"/>
          <w:lang w:val="en-US" w:eastAsia="zh-CN"/>
        </w:rPr>
        <w:t>，经柳州市计量技术测试研究所检定并出具证书编号为</w:t>
      </w:r>
      <w:r>
        <w:rPr>
          <w:rFonts w:hint="eastAsia" w:ascii="仿宋_GB2312" w:hAnsi="仿宋" w:eastAsia="仿宋_GB2312" w:cs="仿宋"/>
          <w:color w:val="auto"/>
          <w:sz w:val="32"/>
          <w:szCs w:val="32"/>
          <w:u w:val="none"/>
          <w:lang w:val="en-US" w:eastAsia="zh-CN"/>
        </w:rPr>
        <w:t>HLH24090198</w:t>
      </w:r>
      <w:r>
        <w:rPr>
          <w:rFonts w:hint="eastAsia" w:ascii="仿宋_GB2312" w:hAnsi="Times New Roman" w:eastAsia="仿宋_GB2312" w:cs="仿宋_GB2312"/>
          <w:color w:val="auto"/>
          <w:sz w:val="32"/>
          <w:szCs w:val="32"/>
          <w:u w:val="none"/>
          <w:lang w:val="en-US" w:eastAsia="zh-CN"/>
        </w:rPr>
        <w:t>的《检定结果通知书》记载：</w:t>
      </w:r>
      <w:r>
        <w:rPr>
          <w:rFonts w:hint="eastAsia" w:ascii="仿宋_GB2312" w:hAnsi="仿宋" w:eastAsia="仿宋_GB2312" w:cs="仿宋"/>
          <w:color w:val="auto"/>
          <w:sz w:val="32"/>
          <w:szCs w:val="32"/>
          <w:u w:val="none"/>
          <w:lang w:val="en-US" w:eastAsia="zh-CN"/>
        </w:rPr>
        <w:t>“计量器具名称：电子计价秤，型号/规格：ACS-30，出厂编号：3740（韦炯文），制造单位：</w:t>
      </w:r>
      <w:r>
        <w:rPr>
          <w:rFonts w:hint="eastAsia" w:ascii="仿宋_GB2312" w:hAnsi="仿宋" w:eastAsia="仿宋_GB2312" w:cs="仿宋"/>
          <w:b w:val="0"/>
          <w:bCs/>
          <w:color w:val="auto"/>
          <w:sz w:val="32"/>
          <w:szCs w:val="32"/>
          <w:u w:val="none"/>
          <w:lang w:val="en-US" w:eastAsia="zh-CN"/>
        </w:rPr>
        <w:t>*工贸有限公司</w:t>
      </w:r>
      <w:r>
        <w:rPr>
          <w:rFonts w:hint="eastAsia" w:ascii="仿宋_GB2312" w:hAnsi="仿宋" w:eastAsia="仿宋_GB2312" w:cs="仿宋"/>
          <w:color w:val="auto"/>
          <w:sz w:val="32"/>
          <w:szCs w:val="32"/>
          <w:u w:val="none"/>
          <w:lang w:val="en-US" w:eastAsia="zh-CN"/>
        </w:rPr>
        <w:t>，检定结论：不合格。”其中</w:t>
      </w:r>
      <w:r>
        <w:rPr>
          <w:rFonts w:hint="eastAsia" w:ascii="仿宋_GB2312" w:hAnsi="Times New Roman" w:eastAsia="仿宋_GB2312" w:cs="仿宋_GB2312"/>
          <w:color w:val="auto"/>
          <w:sz w:val="32"/>
          <w:u w:val="none"/>
          <w:lang w:val="en-US" w:eastAsia="zh-CN"/>
        </w:rPr>
        <w:t>1、检定项目：计量单位检定结果为不合格，</w:t>
      </w:r>
      <w:r>
        <w:rPr>
          <w:rFonts w:hint="eastAsia" w:ascii="仿宋_GB2312" w:hAnsi="仿宋" w:eastAsia="仿宋_GB2312" w:cs="仿宋"/>
          <w:color w:val="auto"/>
          <w:sz w:val="32"/>
          <w:szCs w:val="32"/>
          <w:u w:val="none"/>
          <w:lang w:val="en-US" w:eastAsia="zh-CN"/>
        </w:rPr>
        <w:t>该秤的计量单位为“市斤”，为非法定计量单位；</w:t>
      </w:r>
      <w:r>
        <w:rPr>
          <w:rFonts w:hint="eastAsia" w:ascii="仿宋_GB2312" w:hAnsi="Times New Roman" w:eastAsia="仿宋_GB2312" w:cs="仿宋_GB2312"/>
          <w:color w:val="auto"/>
          <w:sz w:val="32"/>
          <w:u w:val="none"/>
          <w:lang w:val="en-US" w:eastAsia="zh-CN"/>
        </w:rPr>
        <w:t>2、检定项目：通用技术要求的检查/计量的安全性检定结果为不符合，</w:t>
      </w:r>
      <w:r>
        <w:rPr>
          <w:rFonts w:hint="eastAsia" w:ascii="仿宋_GB2312" w:hAnsi="仿宋" w:eastAsia="仿宋_GB2312" w:cs="仿宋"/>
          <w:color w:val="auto"/>
          <w:sz w:val="32"/>
          <w:szCs w:val="32"/>
          <w:u w:val="none"/>
          <w:lang w:val="en-US" w:eastAsia="zh-CN"/>
        </w:rPr>
        <w:t>该秤未加有铅封，且存在不破坏铅封就能对秤进行与计量性能有关的参数调整的情况；3、该秤存在欺骗性使用特征。经试验，开机后，按“9”→“去皮”后，进入作弊状态，通过按下不同的按键改变称量示值。</w:t>
      </w:r>
      <w:r>
        <w:rPr>
          <w:rFonts w:hint="eastAsia" w:ascii="仿宋_GB2312" w:hAnsi="Times New Roman" w:eastAsia="仿宋_GB2312" w:cs="仿宋_GB2312"/>
          <w:color w:val="auto"/>
          <w:sz w:val="32"/>
          <w:szCs w:val="32"/>
          <w:u w:val="none"/>
          <w:lang w:val="en-US" w:eastAsia="zh-CN"/>
        </w:rPr>
        <w:t>因当事人在经营过程中未建立进销台账记录，故营业性收入无法计算。</w:t>
      </w:r>
    </w:p>
    <w:p w14:paraId="0B13857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上述事实，主要有以下证据证明：</w:t>
      </w:r>
    </w:p>
    <w:p w14:paraId="3AAD22B2">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_GB2312" w:hAnsi="Times New Roman" w:eastAsia="仿宋_GB2312" w:cs="仿宋_GB2312"/>
          <w:color w:val="auto"/>
          <w:sz w:val="32"/>
          <w:u w:val="none"/>
          <w:lang w:val="en-US" w:eastAsia="zh-CN"/>
        </w:rPr>
        <w:t>1、</w:t>
      </w:r>
      <w:r>
        <w:rPr>
          <w:rFonts w:hint="eastAsia" w:ascii="仿宋_GB2312" w:hAnsi="仿宋_GB2312" w:eastAsia="仿宋_GB2312" w:cs="仿宋_GB2312"/>
          <w:color w:val="auto"/>
          <w:sz w:val="32"/>
          <w:szCs w:val="32"/>
          <w:lang w:eastAsia="zh-CN"/>
        </w:rPr>
        <w:t>当事人韦炯文</w:t>
      </w:r>
      <w:r>
        <w:rPr>
          <w:rFonts w:hint="eastAsia" w:ascii="仿宋_GB2312" w:hAnsi="仿宋_GB2312" w:eastAsia="仿宋_GB2312" w:cs="仿宋_GB2312"/>
          <w:color w:val="auto"/>
          <w:kern w:val="0"/>
          <w:sz w:val="32"/>
          <w:szCs w:val="32"/>
          <w:lang w:eastAsia="zh-CN"/>
        </w:rPr>
        <w:t>身</w:t>
      </w:r>
      <w:r>
        <w:rPr>
          <w:rFonts w:hint="eastAsia" w:ascii="仿宋_GB2312" w:hAnsi="仿宋_GB2312" w:eastAsia="仿宋_GB2312" w:cs="仿宋_GB2312"/>
          <w:color w:val="auto"/>
          <w:sz w:val="32"/>
          <w:szCs w:val="32"/>
        </w:rPr>
        <w:t>份证复印件1份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highlight w:val="none"/>
          <w:shd w:val="clear" w:color="auto" w:fill="auto"/>
        </w:rPr>
        <w:t>的身份信息。</w:t>
      </w:r>
    </w:p>
    <w:p w14:paraId="7E9FE4C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2、2024年9月3日我局执法人员对当事人进行现场检查制作的《现场笔录》1份、证据提取单2</w:t>
      </w:r>
      <w:r>
        <w:rPr>
          <w:rFonts w:hint="eastAsia" w:ascii="仿宋_GB2312" w:hAnsi="Times New Roman" w:eastAsia="仿宋_GB2312" w:cs="仿宋_GB2312"/>
          <w:color w:val="auto"/>
          <w:sz w:val="32"/>
          <w:highlight w:val="none"/>
          <w:u w:val="none"/>
          <w:lang w:val="en-US" w:eastAsia="zh-CN"/>
        </w:rPr>
        <w:t>份</w:t>
      </w:r>
      <w:r>
        <w:rPr>
          <w:rFonts w:hint="eastAsia" w:ascii="仿宋_GB2312" w:hAnsi="Times New Roman" w:eastAsia="仿宋_GB2312" w:cs="仿宋_GB2312"/>
          <w:color w:val="auto"/>
          <w:sz w:val="32"/>
          <w:u w:val="none"/>
          <w:lang w:val="en-US" w:eastAsia="zh-CN"/>
        </w:rPr>
        <w:t>、《计量器具抽样登记表》（编号：柳北计量抽〔2024〕第090303号）1份，证明我局对当事人的检查及抽样情况；</w:t>
      </w:r>
    </w:p>
    <w:p w14:paraId="2BA07DC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highlight w:val="yellow"/>
          <w:u w:val="none"/>
          <w:lang w:val="en-US" w:eastAsia="zh-CN"/>
        </w:rPr>
      </w:pPr>
      <w:r>
        <w:rPr>
          <w:rFonts w:hint="eastAsia" w:ascii="仿宋_GB2312" w:hAnsi="Times New Roman" w:eastAsia="仿宋_GB2312" w:cs="仿宋_GB2312"/>
          <w:color w:val="auto"/>
          <w:sz w:val="32"/>
          <w:u w:val="none"/>
          <w:lang w:val="en-US" w:eastAsia="zh-CN"/>
        </w:rPr>
        <w:t>3、《检定委托书》（柳北市监检鉴委〔2024〕030902号）1份，</w:t>
      </w:r>
      <w:r>
        <w:rPr>
          <w:rFonts w:hint="eastAsia" w:ascii="仿宋_GB2312" w:hAnsi="仿宋_GB2312" w:eastAsia="仿宋_GB2312" w:cs="仿宋_GB2312"/>
          <w:color w:val="auto"/>
          <w:sz w:val="32"/>
          <w:szCs w:val="32"/>
          <w:highlight w:val="none"/>
          <w:lang w:val="en-US" w:eastAsia="zh-CN"/>
        </w:rPr>
        <w:t>柳州市计量技术测试研究所资质证书复印件1份，</w:t>
      </w:r>
      <w:r>
        <w:rPr>
          <w:rFonts w:hint="eastAsia" w:ascii="仿宋_GB2312" w:hAnsi="Times New Roman" w:eastAsia="仿宋_GB2312" w:cs="仿宋_GB2312"/>
          <w:color w:val="auto"/>
          <w:sz w:val="32"/>
          <w:u w:val="none"/>
          <w:lang w:val="en-US" w:eastAsia="zh-CN"/>
        </w:rPr>
        <w:t>证明我局依法委托柳州市计量技术测试研究所对当事人</w:t>
      </w:r>
      <w:r>
        <w:rPr>
          <w:rFonts w:hint="eastAsia" w:ascii="仿宋_GB2312" w:hAnsi="仿宋_GB2312" w:eastAsia="仿宋_GB2312" w:cs="仿宋_GB2312"/>
          <w:color w:val="auto"/>
          <w:sz w:val="32"/>
          <w:szCs w:val="32"/>
          <w:lang w:val="en-US" w:eastAsia="zh-CN"/>
        </w:rPr>
        <w:t>用于贸易结算的</w:t>
      </w:r>
      <w:r>
        <w:rPr>
          <w:rFonts w:hint="eastAsia" w:hAnsi="仿宋_GB2312" w:cs="仿宋_GB2312"/>
          <w:color w:val="auto"/>
          <w:sz w:val="32"/>
          <w:szCs w:val="32"/>
          <w:lang w:val="en-US" w:eastAsia="zh-CN"/>
        </w:rPr>
        <w:t>上述</w:t>
      </w:r>
      <w:r>
        <w:rPr>
          <w:rFonts w:hint="eastAsia" w:ascii="仿宋_GB2312" w:hAnsi="Times New Roman" w:eastAsia="仿宋_GB2312" w:cs="仿宋_GB2312"/>
          <w:color w:val="auto"/>
          <w:sz w:val="32"/>
          <w:u w:val="none"/>
          <w:lang w:val="en-US" w:eastAsia="zh-CN"/>
        </w:rPr>
        <w:t>的电子计价秤进行检定</w:t>
      </w:r>
      <w:r>
        <w:rPr>
          <w:rFonts w:hint="eastAsia" w:ascii="仿宋_GB2312" w:hAnsi="仿宋_GB2312" w:eastAsia="仿宋_GB2312" w:cs="仿宋_GB2312"/>
          <w:color w:val="auto"/>
          <w:sz w:val="32"/>
          <w:szCs w:val="32"/>
          <w:highlight w:val="none"/>
          <w:lang w:val="en-US" w:eastAsia="zh-CN"/>
        </w:rPr>
        <w:t>及柳州市计量技术测试研究所具有检定电子计价秤的资格。</w:t>
      </w:r>
    </w:p>
    <w:p w14:paraId="397699C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4、《检定结果告知书》（柳北市监检鉴结〔2025〕2号）和《检定结果通知书》（证书编号：</w:t>
      </w:r>
      <w:r>
        <w:rPr>
          <w:rFonts w:hint="eastAsia" w:ascii="仿宋_GB2312" w:hAnsi="仿宋" w:eastAsia="仿宋_GB2312" w:cs="仿宋"/>
          <w:color w:val="auto"/>
          <w:sz w:val="32"/>
          <w:szCs w:val="32"/>
          <w:u w:val="none"/>
          <w:lang w:val="en-US" w:eastAsia="zh-CN"/>
        </w:rPr>
        <w:t>HLH24090198</w:t>
      </w:r>
      <w:r>
        <w:rPr>
          <w:rFonts w:hint="eastAsia" w:ascii="仿宋_GB2312" w:hAnsi="Times New Roman" w:eastAsia="仿宋_GB2312" w:cs="仿宋_GB2312"/>
          <w:color w:val="auto"/>
          <w:sz w:val="32"/>
          <w:u w:val="none"/>
          <w:lang w:val="en-US" w:eastAsia="zh-CN"/>
        </w:rPr>
        <w:t>号）各1份，证明涉案的电子计价秤检定结论为不合格；</w:t>
      </w:r>
    </w:p>
    <w:p w14:paraId="684B6ACB">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5、2025年1月22日制作的《现场笔录》1份、《实施行政强制措施决定书》（柳北市监强制〔2025〕1号、附《财物清单》）1份、证据提取单1份，证明我局对当事人在经营中使用的上述不合格的电子计价秤采取扣押行政强制措施；</w:t>
      </w:r>
    </w:p>
    <w:p w14:paraId="679C61BE">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2025年2月24日制作的《询问笔录》1份，证明当事人存在使用上述检定不合格的电子计价秤的事实。</w:t>
      </w:r>
    </w:p>
    <w:p w14:paraId="2D5125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以上1、2、4、5、6证据均由当事人签名确认。</w:t>
      </w:r>
    </w:p>
    <w:p w14:paraId="3B69EA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2025年5月13日我局向当事人送达了《行政处罚告知书》（柳北市监罚告〔2025〕75号），告知当事人我局拟作出行政处罚的事实、理由、依据、处罚内容及享有的权利。当事人在法定期限内未提出陈述、申辩。</w:t>
      </w:r>
    </w:p>
    <w:p w14:paraId="0C3AE3B9">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color w:val="auto"/>
          <w:sz w:val="32"/>
          <w:u w:val="none"/>
          <w:lang w:val="en-US" w:eastAsia="zh-CN"/>
        </w:rPr>
        <w:t>当事人上述行为，违反了《中华人民共和国计量法实施细则》第二十二条</w:t>
      </w:r>
      <w:bookmarkStart w:id="4" w:name="tiao_22_kuan_1"/>
      <w:bookmarkEnd w:id="4"/>
      <w:r>
        <w:rPr>
          <w:rFonts w:hint="eastAsia" w:ascii="仿宋_GB2312" w:hAnsi="Times New Roman" w:eastAsia="仿宋_GB2312" w:cs="仿宋_GB2312"/>
          <w:color w:val="auto"/>
          <w:sz w:val="32"/>
          <w:u w:val="none"/>
          <w:lang w:val="en-US" w:eastAsia="zh-CN"/>
        </w:rPr>
        <w:t>的规定，属于使用不合格的计量器具的行为。</w:t>
      </w:r>
    </w:p>
    <w:p w14:paraId="1786C7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1E4E76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1.没收上述检定不合格电子计价秤（</w:t>
      </w:r>
      <w:r>
        <w:rPr>
          <w:rFonts w:hint="eastAsia" w:ascii="仿宋_GB2312" w:hAnsi="仿宋" w:eastAsia="仿宋_GB2312" w:cs="仿宋"/>
          <w:b w:val="0"/>
          <w:bCs/>
          <w:color w:val="auto"/>
          <w:sz w:val="32"/>
          <w:szCs w:val="32"/>
          <w:u w:val="none"/>
          <w:lang w:val="en-US" w:eastAsia="zh-CN"/>
        </w:rPr>
        <w:t>出厂编号：3740，*工贸有限公司</w:t>
      </w:r>
      <w:r>
        <w:rPr>
          <w:rFonts w:hint="eastAsia" w:ascii="仿宋_GB2312" w:hAnsi="Times New Roman" w:eastAsia="仿宋_GB2312" w:cs="仿宋_GB2312"/>
          <w:color w:val="auto"/>
          <w:sz w:val="32"/>
          <w:u w:val="none"/>
          <w:lang w:val="en-US" w:eastAsia="zh-CN"/>
        </w:rPr>
        <w:t>）1台；</w:t>
      </w:r>
    </w:p>
    <w:p w14:paraId="68B72CA8">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2.罚款人民币壹仟元整（¥1000.00）。</w:t>
      </w:r>
    </w:p>
    <w:p w14:paraId="36CF2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rPr>
        <w:t>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4E6FF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rPr>
        <w:t>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7E6FBA68">
      <w:pPr>
        <w:keepNext w:val="0"/>
        <w:keepLines w:val="0"/>
        <w:pageBreakBefore w:val="0"/>
        <w:widowControl/>
        <w:kinsoku/>
        <w:wordWrap/>
        <w:overflowPunct/>
        <w:topLinePunct w:val="0"/>
        <w:bidi w:val="0"/>
        <w:snapToGrid w:val="0"/>
        <w:spacing w:line="560" w:lineRule="exact"/>
        <w:jc w:val="left"/>
        <w:rPr>
          <w:rFonts w:ascii="Times New Roman" w:hAnsi="Times New Roman" w:eastAsia="仿宋_GB2312" w:cs="仿宋_GB2312"/>
          <w:color w:val="auto"/>
          <w:sz w:val="32"/>
          <w:szCs w:val="32"/>
        </w:rPr>
      </w:pPr>
    </w:p>
    <w:p w14:paraId="3DF2FC83">
      <w:pPr>
        <w:keepNext w:val="0"/>
        <w:keepLines w:val="0"/>
        <w:pageBreakBefore w:val="0"/>
        <w:kinsoku/>
        <w:wordWrap/>
        <w:overflowPunct/>
        <w:topLinePunct w:val="0"/>
        <w:bidi w:val="0"/>
        <w:spacing w:line="560" w:lineRule="exact"/>
        <w:ind w:right="640" w:firstLine="601"/>
        <w:jc w:val="right"/>
        <w:rPr>
          <w:rFonts w:hint="eastAsia" w:ascii="Times New Roman" w:hAnsi="Times New Roman" w:eastAsia="仿宋_GB2312" w:cs="仿宋"/>
          <w:color w:val="auto"/>
          <w:sz w:val="32"/>
        </w:rPr>
      </w:pPr>
      <w:bookmarkStart w:id="5" w:name="DYNAMIC—DWXX—tAj_dwmc—2"/>
    </w:p>
    <w:p w14:paraId="2D317986">
      <w:pPr>
        <w:keepNext w:val="0"/>
        <w:keepLines w:val="0"/>
        <w:pageBreakBefore w:val="0"/>
        <w:kinsoku/>
        <w:wordWrap/>
        <w:overflowPunct/>
        <w:topLinePunct w:val="0"/>
        <w:bidi w:val="0"/>
        <w:spacing w:line="560" w:lineRule="exact"/>
        <w:ind w:right="640" w:firstLine="601"/>
        <w:jc w:val="right"/>
        <w:rPr>
          <w:rFonts w:ascii="Times New Roman" w:hAnsi="Times New Roman" w:eastAsia="仿宋_GB2312" w:cs="仿宋"/>
          <w:color w:val="auto"/>
          <w:sz w:val="32"/>
          <w:szCs w:val="32"/>
        </w:rPr>
      </w:pPr>
      <w:r>
        <w:rPr>
          <w:rFonts w:hint="eastAsia" w:ascii="Times New Roman" w:hAnsi="Times New Roman" w:eastAsia="仿宋_GB2312" w:cs="仿宋"/>
          <w:color w:val="auto"/>
          <w:sz w:val="32"/>
          <w:lang w:eastAsia="zh-CN"/>
        </w:rPr>
        <w:t>柳州市</w:t>
      </w:r>
      <w:r>
        <w:rPr>
          <w:rFonts w:hint="eastAsia" w:ascii="Times New Roman" w:hAnsi="Times New Roman" w:eastAsia="仿宋_GB2312" w:cs="仿宋"/>
          <w:color w:val="auto"/>
          <w:sz w:val="32"/>
        </w:rPr>
        <w:t>柳北区市场监督管理局</w:t>
      </w:r>
      <w:bookmarkEnd w:id="5"/>
      <w:r>
        <w:rPr>
          <w:rFonts w:hint="eastAsia" w:ascii="Times New Roman" w:hAnsi="Times New Roman" w:eastAsia="仿宋_GB2312" w:cs="仿宋"/>
          <w:color w:val="auto"/>
          <w:sz w:val="32"/>
          <w:szCs w:val="32"/>
        </w:rPr>
        <w:t xml:space="preserve">    </w:t>
      </w:r>
    </w:p>
    <w:p w14:paraId="46A30846">
      <w:pPr>
        <w:pStyle w:val="2"/>
        <w:keepNext w:val="0"/>
        <w:keepLines w:val="0"/>
        <w:pageBreakBefore w:val="0"/>
        <w:kinsoku/>
        <w:wordWrap/>
        <w:overflowPunct/>
        <w:topLinePunct w:val="0"/>
        <w:bidi w:val="0"/>
        <w:spacing w:line="560" w:lineRule="exact"/>
        <w:ind w:firstLine="5120" w:firstLineChars="1600"/>
        <w:rPr>
          <w:rFonts w:hint="eastAsia" w:ascii="黑体" w:hAnsi="黑体" w:eastAsia="黑体" w:cs="黑体"/>
          <w:b w:val="0"/>
          <w:bCs w:val="0"/>
          <w:color w:val="auto"/>
          <w:w w:val="98"/>
          <w:sz w:val="32"/>
          <w:szCs w:val="32"/>
          <w:u w:val="none"/>
          <w:lang w:eastAsia="zh-CN"/>
        </w:rPr>
      </w:pPr>
      <w:bookmarkStart w:id="6" w:name="CALCULATE—TIME—NOW"/>
      <w:r>
        <w:rPr>
          <w:rFonts w:hint="eastAsia" w:ascii="仿宋_GB2312" w:hAnsi="Times New Roman" w:eastAsia="仿宋_GB2312" w:cs="仿宋"/>
          <w:color w:val="auto"/>
          <w:sz w:val="32"/>
        </w:rPr>
        <w:t>2025年0</w:t>
      </w:r>
      <w:r>
        <w:rPr>
          <w:rFonts w:hint="eastAsia" w:hAnsi="Times New Roman" w:cs="仿宋"/>
          <w:color w:val="auto"/>
          <w:sz w:val="32"/>
          <w:lang w:val="en-US" w:eastAsia="zh-CN"/>
        </w:rPr>
        <w:t>5</w:t>
      </w:r>
      <w:r>
        <w:rPr>
          <w:rFonts w:hint="eastAsia" w:ascii="仿宋_GB2312" w:hAnsi="Times New Roman" w:eastAsia="仿宋_GB2312" w:cs="仿宋"/>
          <w:color w:val="auto"/>
          <w:sz w:val="32"/>
        </w:rPr>
        <w:t>月</w:t>
      </w:r>
      <w:r>
        <w:rPr>
          <w:rFonts w:hint="eastAsia" w:hAnsi="Times New Roman" w:cs="仿宋"/>
          <w:color w:val="auto"/>
          <w:sz w:val="32"/>
          <w:lang w:val="en-US" w:eastAsia="zh-CN"/>
        </w:rPr>
        <w:t>21</w:t>
      </w:r>
      <w:r>
        <w:rPr>
          <w:rFonts w:hint="eastAsia" w:ascii="仿宋_GB2312" w:hAnsi="Times New Roman" w:eastAsia="仿宋_GB2312" w:cs="仿宋"/>
          <w:color w:val="auto"/>
          <w:sz w:val="32"/>
        </w:rPr>
        <w:t>日</w:t>
      </w:r>
      <w:bookmarkEnd w:id="6"/>
    </w:p>
    <w:p w14:paraId="08EB50BD">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14:paraId="4C93E363">
      <w:pPr>
        <w:pStyle w:val="2"/>
        <w:rPr>
          <w:rFonts w:hint="eastAsia" w:ascii="黑体" w:hAnsi="黑体" w:eastAsia="黑体" w:cs="黑体"/>
          <w:b w:val="0"/>
          <w:bCs w:val="0"/>
          <w:color w:val="auto"/>
          <w:w w:val="98"/>
          <w:sz w:val="32"/>
          <w:szCs w:val="32"/>
          <w:u w:val="none"/>
          <w:lang w:eastAsia="zh-CN"/>
        </w:rPr>
      </w:pPr>
    </w:p>
    <w:p w14:paraId="699FAD84">
      <w:pPr>
        <w:pStyle w:val="2"/>
        <w:rPr>
          <w:rFonts w:hint="eastAsia" w:ascii="黑体" w:hAnsi="黑体" w:eastAsia="黑体" w:cs="黑体"/>
          <w:b w:val="0"/>
          <w:bCs w:val="0"/>
          <w:color w:val="auto"/>
          <w:w w:val="98"/>
          <w:sz w:val="32"/>
          <w:szCs w:val="32"/>
          <w:u w:val="none"/>
          <w:lang w:eastAsia="zh-CN"/>
        </w:rPr>
      </w:pPr>
    </w:p>
    <w:p w14:paraId="2AC872A1">
      <w:pPr>
        <w:pStyle w:val="2"/>
        <w:rPr>
          <w:rFonts w:hint="eastAsia" w:ascii="黑体" w:hAnsi="黑体" w:eastAsia="黑体" w:cs="黑体"/>
          <w:b w:val="0"/>
          <w:bCs w:val="0"/>
          <w:color w:val="auto"/>
          <w:w w:val="98"/>
          <w:sz w:val="32"/>
          <w:szCs w:val="32"/>
          <w:u w:val="none"/>
          <w:lang w:eastAsia="zh-CN"/>
        </w:rPr>
      </w:pPr>
    </w:p>
    <w:p w14:paraId="3ED9AB98">
      <w:pPr>
        <w:pStyle w:val="2"/>
        <w:rPr>
          <w:rFonts w:hint="eastAsia" w:ascii="黑体" w:hAnsi="黑体" w:eastAsia="黑体" w:cs="黑体"/>
          <w:b w:val="0"/>
          <w:bCs w:val="0"/>
          <w:color w:val="auto"/>
          <w:w w:val="98"/>
          <w:sz w:val="32"/>
          <w:szCs w:val="32"/>
          <w:u w:val="none"/>
          <w:lang w:eastAsia="zh-CN"/>
        </w:rPr>
      </w:pPr>
    </w:p>
    <w:p w14:paraId="2E369FD0">
      <w:pPr>
        <w:pStyle w:val="2"/>
        <w:rPr>
          <w:rFonts w:hint="eastAsia" w:ascii="黑体" w:hAnsi="黑体" w:eastAsia="黑体" w:cs="黑体"/>
          <w:b w:val="0"/>
          <w:bCs w:val="0"/>
          <w:color w:val="auto"/>
          <w:w w:val="98"/>
          <w:sz w:val="32"/>
          <w:szCs w:val="32"/>
          <w:u w:val="none"/>
          <w:lang w:eastAsia="zh-CN"/>
        </w:rPr>
      </w:pPr>
    </w:p>
    <w:p w14:paraId="0D644351">
      <w:pPr>
        <w:pStyle w:val="2"/>
        <w:rPr>
          <w:rFonts w:hint="eastAsia" w:ascii="黑体" w:hAnsi="黑体" w:eastAsia="黑体" w:cs="黑体"/>
          <w:b w:val="0"/>
          <w:bCs w:val="0"/>
          <w:color w:val="auto"/>
          <w:w w:val="98"/>
          <w:sz w:val="32"/>
          <w:szCs w:val="32"/>
          <w:u w:val="none"/>
          <w:lang w:eastAsia="zh-CN"/>
        </w:rPr>
      </w:pPr>
    </w:p>
    <w:p w14:paraId="2A99ABEF">
      <w:pPr>
        <w:pStyle w:val="2"/>
        <w:rPr>
          <w:rFonts w:hint="eastAsia" w:ascii="黑体" w:hAnsi="黑体" w:eastAsia="黑体" w:cs="黑体"/>
          <w:b w:val="0"/>
          <w:bCs w:val="0"/>
          <w:color w:val="auto"/>
          <w:w w:val="98"/>
          <w:sz w:val="32"/>
          <w:szCs w:val="32"/>
          <w:u w:val="none"/>
          <w:lang w:eastAsia="zh-CN"/>
        </w:rPr>
      </w:pPr>
    </w:p>
    <w:p w14:paraId="1EF9BAFD">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1C287D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8E6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CCF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3CCF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6D6D0CF"/>
    <w:multiLevelType w:val="singleLevel"/>
    <w:tmpl w:val="66D6D0CF"/>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WRjMDlmNjczOThjYjJkYzFhNjVlNjUxZDAyOTIifQ=="/>
    <w:docVar w:name="KSO_WPS_MARK_KEY" w:val="e0e0a264-4759-4521-88aa-fd686ed44552"/>
  </w:docVars>
  <w:rsids>
    <w:rsidRoot w:val="5BA419F7"/>
    <w:rsid w:val="00193C35"/>
    <w:rsid w:val="0032134F"/>
    <w:rsid w:val="008724AB"/>
    <w:rsid w:val="00E041FD"/>
    <w:rsid w:val="011C07DF"/>
    <w:rsid w:val="02B83402"/>
    <w:rsid w:val="03074024"/>
    <w:rsid w:val="046837CA"/>
    <w:rsid w:val="04BA1C3F"/>
    <w:rsid w:val="04CD463F"/>
    <w:rsid w:val="04DD3789"/>
    <w:rsid w:val="04FA4431"/>
    <w:rsid w:val="062E1218"/>
    <w:rsid w:val="06BAE61F"/>
    <w:rsid w:val="071C7669"/>
    <w:rsid w:val="072E2862"/>
    <w:rsid w:val="0776795A"/>
    <w:rsid w:val="07A73C1C"/>
    <w:rsid w:val="07FE68EB"/>
    <w:rsid w:val="08076446"/>
    <w:rsid w:val="080E48C5"/>
    <w:rsid w:val="08365B64"/>
    <w:rsid w:val="08747AEC"/>
    <w:rsid w:val="08F23066"/>
    <w:rsid w:val="0935678F"/>
    <w:rsid w:val="098E3ABC"/>
    <w:rsid w:val="09A61163"/>
    <w:rsid w:val="09A978BB"/>
    <w:rsid w:val="09F6548B"/>
    <w:rsid w:val="0A0B6909"/>
    <w:rsid w:val="0A0C438A"/>
    <w:rsid w:val="0A721B30"/>
    <w:rsid w:val="0AA44133"/>
    <w:rsid w:val="0B22091D"/>
    <w:rsid w:val="0B9D06F5"/>
    <w:rsid w:val="0C0A63CF"/>
    <w:rsid w:val="0C7015F6"/>
    <w:rsid w:val="0CA33BCC"/>
    <w:rsid w:val="0CF71776"/>
    <w:rsid w:val="0D096D81"/>
    <w:rsid w:val="0D3861B5"/>
    <w:rsid w:val="0DC444A6"/>
    <w:rsid w:val="0FA12732"/>
    <w:rsid w:val="0FFFE86C"/>
    <w:rsid w:val="103E22C5"/>
    <w:rsid w:val="106C3100"/>
    <w:rsid w:val="10F26BDC"/>
    <w:rsid w:val="110F7D08"/>
    <w:rsid w:val="116374B7"/>
    <w:rsid w:val="1184614B"/>
    <w:rsid w:val="11A021F8"/>
    <w:rsid w:val="12516798"/>
    <w:rsid w:val="1350279A"/>
    <w:rsid w:val="139E1CBE"/>
    <w:rsid w:val="14203063"/>
    <w:rsid w:val="143E1E38"/>
    <w:rsid w:val="152E563E"/>
    <w:rsid w:val="15360ADA"/>
    <w:rsid w:val="1537655C"/>
    <w:rsid w:val="15B93156"/>
    <w:rsid w:val="165035D4"/>
    <w:rsid w:val="173405A0"/>
    <w:rsid w:val="17B865FB"/>
    <w:rsid w:val="18325353"/>
    <w:rsid w:val="188A30D0"/>
    <w:rsid w:val="18B229B2"/>
    <w:rsid w:val="18C8188B"/>
    <w:rsid w:val="19FE4517"/>
    <w:rsid w:val="1A6516DC"/>
    <w:rsid w:val="1AAC5768"/>
    <w:rsid w:val="1ABE5DA1"/>
    <w:rsid w:val="1B317B2B"/>
    <w:rsid w:val="1B7802A0"/>
    <w:rsid w:val="1BB60C90"/>
    <w:rsid w:val="1BC65F68"/>
    <w:rsid w:val="1BFD04F9"/>
    <w:rsid w:val="1C0E209A"/>
    <w:rsid w:val="1C6411A2"/>
    <w:rsid w:val="1C67350C"/>
    <w:rsid w:val="1E2525B5"/>
    <w:rsid w:val="1E620C67"/>
    <w:rsid w:val="1EE03AB4"/>
    <w:rsid w:val="1F2B5D07"/>
    <w:rsid w:val="1F94485C"/>
    <w:rsid w:val="1FD31F15"/>
    <w:rsid w:val="20D648C2"/>
    <w:rsid w:val="212C10FB"/>
    <w:rsid w:val="21C40374"/>
    <w:rsid w:val="225F01F3"/>
    <w:rsid w:val="22F55C75"/>
    <w:rsid w:val="23061C85"/>
    <w:rsid w:val="23913DE8"/>
    <w:rsid w:val="24626694"/>
    <w:rsid w:val="24E75A37"/>
    <w:rsid w:val="258D6CE0"/>
    <w:rsid w:val="259D070D"/>
    <w:rsid w:val="26761D5F"/>
    <w:rsid w:val="275B4FD8"/>
    <w:rsid w:val="276E08C0"/>
    <w:rsid w:val="278D58F1"/>
    <w:rsid w:val="27F4659B"/>
    <w:rsid w:val="28C049EA"/>
    <w:rsid w:val="28ED236C"/>
    <w:rsid w:val="29F205DF"/>
    <w:rsid w:val="2A9F8649"/>
    <w:rsid w:val="2B1B3EFC"/>
    <w:rsid w:val="2BF15B26"/>
    <w:rsid w:val="2CBD3F75"/>
    <w:rsid w:val="2CC77EF2"/>
    <w:rsid w:val="2CCF5C64"/>
    <w:rsid w:val="2CEA3815"/>
    <w:rsid w:val="2D23171B"/>
    <w:rsid w:val="2DE10173"/>
    <w:rsid w:val="2E861AF6"/>
    <w:rsid w:val="2F2111E1"/>
    <w:rsid w:val="2F327E79"/>
    <w:rsid w:val="2F500EBE"/>
    <w:rsid w:val="2F7CE1EF"/>
    <w:rsid w:val="2FE8594F"/>
    <w:rsid w:val="2FED7630"/>
    <w:rsid w:val="300D096E"/>
    <w:rsid w:val="3015257C"/>
    <w:rsid w:val="30BA5A7F"/>
    <w:rsid w:val="30DB5683"/>
    <w:rsid w:val="31863ECE"/>
    <w:rsid w:val="31EB1674"/>
    <w:rsid w:val="31EC70F5"/>
    <w:rsid w:val="320831A2"/>
    <w:rsid w:val="32B85544"/>
    <w:rsid w:val="32F3303B"/>
    <w:rsid w:val="330E67C6"/>
    <w:rsid w:val="33835F12"/>
    <w:rsid w:val="34BD4037"/>
    <w:rsid w:val="351D0231"/>
    <w:rsid w:val="353B4E25"/>
    <w:rsid w:val="3585615B"/>
    <w:rsid w:val="35E96681"/>
    <w:rsid w:val="361C25FD"/>
    <w:rsid w:val="364F18A8"/>
    <w:rsid w:val="368E5656"/>
    <w:rsid w:val="36B54AD0"/>
    <w:rsid w:val="36D9180C"/>
    <w:rsid w:val="377FBB27"/>
    <w:rsid w:val="378D0FB6"/>
    <w:rsid w:val="37E706C5"/>
    <w:rsid w:val="37F16547"/>
    <w:rsid w:val="384E136E"/>
    <w:rsid w:val="38B44595"/>
    <w:rsid w:val="38B63DA7"/>
    <w:rsid w:val="39191D3B"/>
    <w:rsid w:val="39462917"/>
    <w:rsid w:val="397F4F63"/>
    <w:rsid w:val="39E65C0C"/>
    <w:rsid w:val="3A4E178D"/>
    <w:rsid w:val="3BF97ECA"/>
    <w:rsid w:val="3C2965F0"/>
    <w:rsid w:val="3C4A2E77"/>
    <w:rsid w:val="3D217658"/>
    <w:rsid w:val="3D7C44EE"/>
    <w:rsid w:val="3DE21C94"/>
    <w:rsid w:val="3E49293D"/>
    <w:rsid w:val="3E62579A"/>
    <w:rsid w:val="3EAE00E3"/>
    <w:rsid w:val="3F150D8C"/>
    <w:rsid w:val="3F2604DF"/>
    <w:rsid w:val="3F3106BC"/>
    <w:rsid w:val="3F6783E4"/>
    <w:rsid w:val="3FFF82D4"/>
    <w:rsid w:val="402E7C06"/>
    <w:rsid w:val="40FE5F8F"/>
    <w:rsid w:val="410A07A5"/>
    <w:rsid w:val="41793A79"/>
    <w:rsid w:val="422830F8"/>
    <w:rsid w:val="42454447"/>
    <w:rsid w:val="425049CE"/>
    <w:rsid w:val="42AB766E"/>
    <w:rsid w:val="42AC50F0"/>
    <w:rsid w:val="43112896"/>
    <w:rsid w:val="43397EFB"/>
    <w:rsid w:val="43775ABD"/>
    <w:rsid w:val="438E3D63"/>
    <w:rsid w:val="43B219DC"/>
    <w:rsid w:val="43C639D7"/>
    <w:rsid w:val="44433F0D"/>
    <w:rsid w:val="4444198E"/>
    <w:rsid w:val="44A97134"/>
    <w:rsid w:val="45CA7D80"/>
    <w:rsid w:val="464239D2"/>
    <w:rsid w:val="468C64C8"/>
    <w:rsid w:val="470E1E21"/>
    <w:rsid w:val="47515D8E"/>
    <w:rsid w:val="475B6938"/>
    <w:rsid w:val="47745049"/>
    <w:rsid w:val="48C10000"/>
    <w:rsid w:val="490054B5"/>
    <w:rsid w:val="49D97D36"/>
    <w:rsid w:val="4A2B0A3A"/>
    <w:rsid w:val="4A5C478F"/>
    <w:rsid w:val="4A9F106C"/>
    <w:rsid w:val="4AE96ACE"/>
    <w:rsid w:val="4B0A02C2"/>
    <w:rsid w:val="4B706B53"/>
    <w:rsid w:val="4BBE3774"/>
    <w:rsid w:val="4BD71D7A"/>
    <w:rsid w:val="4BD777FC"/>
    <w:rsid w:val="4C0201EE"/>
    <w:rsid w:val="4C02380F"/>
    <w:rsid w:val="4CA301C9"/>
    <w:rsid w:val="4CC8271B"/>
    <w:rsid w:val="4D0933F1"/>
    <w:rsid w:val="4DD51840"/>
    <w:rsid w:val="4DD672C1"/>
    <w:rsid w:val="4E08156A"/>
    <w:rsid w:val="4E3B4A67"/>
    <w:rsid w:val="4E4D4B6A"/>
    <w:rsid w:val="4EA25710"/>
    <w:rsid w:val="4F072EB6"/>
    <w:rsid w:val="4F6420D6"/>
    <w:rsid w:val="4F6F3B5F"/>
    <w:rsid w:val="516D3625"/>
    <w:rsid w:val="529F4C9C"/>
    <w:rsid w:val="530449C0"/>
    <w:rsid w:val="53455D74"/>
    <w:rsid w:val="548173AF"/>
    <w:rsid w:val="549D6CE0"/>
    <w:rsid w:val="54D301FC"/>
    <w:rsid w:val="552A59CF"/>
    <w:rsid w:val="562316F8"/>
    <w:rsid w:val="56355AFC"/>
    <w:rsid w:val="566A39AB"/>
    <w:rsid w:val="57013F4B"/>
    <w:rsid w:val="570219CD"/>
    <w:rsid w:val="57075E39"/>
    <w:rsid w:val="5733219C"/>
    <w:rsid w:val="57503162"/>
    <w:rsid w:val="578C1931"/>
    <w:rsid w:val="57C16BC1"/>
    <w:rsid w:val="58025EF8"/>
    <w:rsid w:val="58702637"/>
    <w:rsid w:val="58FF3A11"/>
    <w:rsid w:val="591F0542"/>
    <w:rsid w:val="597F3BD7"/>
    <w:rsid w:val="59AB1DFB"/>
    <w:rsid w:val="5A325088"/>
    <w:rsid w:val="5A332B09"/>
    <w:rsid w:val="5A89344F"/>
    <w:rsid w:val="5AF92E81"/>
    <w:rsid w:val="5AFE34D7"/>
    <w:rsid w:val="5B10592D"/>
    <w:rsid w:val="5B235C95"/>
    <w:rsid w:val="5B6466FE"/>
    <w:rsid w:val="5B654180"/>
    <w:rsid w:val="5BA419F7"/>
    <w:rsid w:val="5BCA1926"/>
    <w:rsid w:val="5BF91583"/>
    <w:rsid w:val="5BFB2E57"/>
    <w:rsid w:val="5D201067"/>
    <w:rsid w:val="5D3C19FB"/>
    <w:rsid w:val="5D6361C4"/>
    <w:rsid w:val="5DC913EB"/>
    <w:rsid w:val="5DD7483B"/>
    <w:rsid w:val="5E5FAB03"/>
    <w:rsid w:val="5EFB2A62"/>
    <w:rsid w:val="5F08663C"/>
    <w:rsid w:val="5F9FEDD5"/>
    <w:rsid w:val="5FBEF003"/>
    <w:rsid w:val="5FDC55D3"/>
    <w:rsid w:val="5FE33914"/>
    <w:rsid w:val="5FFA4D85"/>
    <w:rsid w:val="602422E6"/>
    <w:rsid w:val="60BE151A"/>
    <w:rsid w:val="61124A7A"/>
    <w:rsid w:val="612E7E8C"/>
    <w:rsid w:val="61402C9C"/>
    <w:rsid w:val="616C4C70"/>
    <w:rsid w:val="61A65EC3"/>
    <w:rsid w:val="62012A77"/>
    <w:rsid w:val="626A7CAD"/>
    <w:rsid w:val="62926DC6"/>
    <w:rsid w:val="634C5A94"/>
    <w:rsid w:val="63C329BB"/>
    <w:rsid w:val="63DB75A1"/>
    <w:rsid w:val="64900E0A"/>
    <w:rsid w:val="649C61C5"/>
    <w:rsid w:val="64DF6AF5"/>
    <w:rsid w:val="64E43803"/>
    <w:rsid w:val="64F64031"/>
    <w:rsid w:val="64F71AB3"/>
    <w:rsid w:val="655C7259"/>
    <w:rsid w:val="658402DE"/>
    <w:rsid w:val="65C22480"/>
    <w:rsid w:val="6608615A"/>
    <w:rsid w:val="662856A8"/>
    <w:rsid w:val="669D12B6"/>
    <w:rsid w:val="66EF4576"/>
    <w:rsid w:val="66F51579"/>
    <w:rsid w:val="675B47A0"/>
    <w:rsid w:val="67C279C8"/>
    <w:rsid w:val="6827516E"/>
    <w:rsid w:val="6A8D335E"/>
    <w:rsid w:val="6AD7030F"/>
    <w:rsid w:val="6BBD3A50"/>
    <w:rsid w:val="6BCC1BB9"/>
    <w:rsid w:val="6BD9385B"/>
    <w:rsid w:val="6C2446F9"/>
    <w:rsid w:val="6C33669D"/>
    <w:rsid w:val="6C8A7920"/>
    <w:rsid w:val="6D5E0131"/>
    <w:rsid w:val="6D923254"/>
    <w:rsid w:val="6E04767D"/>
    <w:rsid w:val="6E144A3B"/>
    <w:rsid w:val="6E6950E9"/>
    <w:rsid w:val="6E8973E6"/>
    <w:rsid w:val="6F555835"/>
    <w:rsid w:val="6F732ABB"/>
    <w:rsid w:val="6F9E6F2E"/>
    <w:rsid w:val="6FBA2FDB"/>
    <w:rsid w:val="6FBB0A5D"/>
    <w:rsid w:val="6FD75298"/>
    <w:rsid w:val="6FEF5D19"/>
    <w:rsid w:val="6FF58B64"/>
    <w:rsid w:val="6FF8F863"/>
    <w:rsid w:val="707C4A6F"/>
    <w:rsid w:val="70CF02CA"/>
    <w:rsid w:val="71013020"/>
    <w:rsid w:val="714E48D5"/>
    <w:rsid w:val="71B82AA1"/>
    <w:rsid w:val="721F5CC8"/>
    <w:rsid w:val="72601FB5"/>
    <w:rsid w:val="72AA36AE"/>
    <w:rsid w:val="732C0404"/>
    <w:rsid w:val="732D37BC"/>
    <w:rsid w:val="7376089F"/>
    <w:rsid w:val="7393362B"/>
    <w:rsid w:val="75001604"/>
    <w:rsid w:val="756357C0"/>
    <w:rsid w:val="75B2DA43"/>
    <w:rsid w:val="75BD90DB"/>
    <w:rsid w:val="76C00A6A"/>
    <w:rsid w:val="76E836A3"/>
    <w:rsid w:val="7794703F"/>
    <w:rsid w:val="77B41AF2"/>
    <w:rsid w:val="77DF8BD4"/>
    <w:rsid w:val="77EFD5CC"/>
    <w:rsid w:val="77FB2266"/>
    <w:rsid w:val="77FFADAC"/>
    <w:rsid w:val="781A4D19"/>
    <w:rsid w:val="7874060E"/>
    <w:rsid w:val="78807F41"/>
    <w:rsid w:val="794C090E"/>
    <w:rsid w:val="794D6390"/>
    <w:rsid w:val="797E1769"/>
    <w:rsid w:val="79AF2BB1"/>
    <w:rsid w:val="7A186D5D"/>
    <w:rsid w:val="7A316D9F"/>
    <w:rsid w:val="7A7F7A06"/>
    <w:rsid w:val="7B4B5E55"/>
    <w:rsid w:val="7BB1107D"/>
    <w:rsid w:val="7BFD6076"/>
    <w:rsid w:val="7C166823"/>
    <w:rsid w:val="7C7D1A4A"/>
    <w:rsid w:val="7C8E43D6"/>
    <w:rsid w:val="7DA813EB"/>
    <w:rsid w:val="7DFF108F"/>
    <w:rsid w:val="7E0250CA"/>
    <w:rsid w:val="7E163D6A"/>
    <w:rsid w:val="7E6C6CF7"/>
    <w:rsid w:val="7EE14738"/>
    <w:rsid w:val="7EED8AE6"/>
    <w:rsid w:val="7F230A24"/>
    <w:rsid w:val="7F4853E1"/>
    <w:rsid w:val="7F921BB5"/>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1896</Words>
  <Characters>2056</Characters>
  <Lines>0</Lines>
  <Paragraphs>0</Paragraphs>
  <TotalTime>7</TotalTime>
  <ScaleCrop>false</ScaleCrop>
  <LinksUpToDate>false</LinksUpToDate>
  <CharactersWithSpaces>2061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2025-04-29T03:44:00Z</cp:lastPrinted>
  <dcterms:modified xsi:type="dcterms:W3CDTF">2025-05-28T01:35:17Z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