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2587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柳州市柳北区市场监督管理局</w:t>
      </w:r>
    </w:p>
    <w:p w14:paraId="7BC34F3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行政处罚决定书</w:t>
      </w:r>
    </w:p>
    <w:p w14:paraId="0353D4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2560" w:firstLineChars="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柳北市监处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47</w:t>
      </w:r>
      <w:r>
        <w:rPr>
          <w:rFonts w:hint="eastAsia" w:ascii="Times New Roman" w:hAnsi="Times New Roman" w:eastAsia="仿宋_GB2312" w:cs="Mongolian Baiti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</w:p>
    <w:p w14:paraId="72486A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rPr>
          <w:rFonts w:hint="eastAsia"/>
          <w:color w:val="auto"/>
        </w:rPr>
      </w:pPr>
    </w:p>
    <w:p w14:paraId="47C5C2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柳州市柳北区周惠群便利店</w:t>
      </w:r>
    </w:p>
    <w:p w14:paraId="23942C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主体资格证照名称：营业执照</w:t>
      </w:r>
    </w:p>
    <w:p w14:paraId="1D21BF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92450205MABXHMBP4J</w:t>
      </w:r>
    </w:p>
    <w:p w14:paraId="443D3C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经营场所：</w:t>
      </w:r>
      <w:r>
        <w:rPr>
          <w:rFonts w:hint="eastAsia" w:ascii="仿宋_GB2312" w:hAnsi="仿宋" w:eastAsia="仿宋_GB2312" w:cs="仿宋"/>
          <w:color w:val="auto"/>
          <w:sz w:val="30"/>
          <w:szCs w:val="30"/>
          <w:u w:val="none"/>
          <w:lang w:eastAsia="zh-CN"/>
        </w:rPr>
        <w:t>柳州市柳北区</w:t>
      </w:r>
      <w:r>
        <w:rPr>
          <w:rFonts w:hint="eastAsia" w:ascii="仿宋_GB2312" w:hAnsi="仿宋" w:eastAsia="仿宋_GB2312" w:cs="仿宋"/>
          <w:color w:val="auto"/>
          <w:sz w:val="30"/>
          <w:szCs w:val="30"/>
          <w:u w:val="none"/>
          <w:lang w:val="en-US" w:eastAsia="zh-CN"/>
        </w:rPr>
        <w:t>跃进路79号柳钢元宝源3栋2单元1-2号</w:t>
      </w:r>
    </w:p>
    <w:p w14:paraId="3429FE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1600" w:hanging="1600" w:hangingChars="5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经营者：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周惠群</w:t>
      </w:r>
    </w:p>
    <w:p w14:paraId="06744F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strike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号码：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6A6356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/>
          <w:color w:val="auto"/>
          <w:sz w:val="32"/>
          <w:szCs w:val="32"/>
          <w:lang w:eastAsia="zh-CN"/>
        </w:rPr>
      </w:pPr>
    </w:p>
    <w:p w14:paraId="593AA1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日，我局执法人员联合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烟草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专卖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局执法人员对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进行检查时发现，当事人正在从事烟草制品零售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并无法出示《烟草专卖零售许可证》，当事人涉嫌违反《中华人民共和国烟草专卖法实施条例》的相关规定，为进一步查清事实，我局于202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日对当事人进行立案调查。</w:t>
      </w:r>
    </w:p>
    <w:p w14:paraId="2BA46D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于2024年6月开始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未依法取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得《烟草专卖零售许可证》的情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柳州市柳北区跃进路79号柳钢元宝源3栋2单元1-2号从事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零售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活动，20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日被我局依法查获时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经营的烟草制品货值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4192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在经营过程中未制作进销货台账，故利润无法计算。</w:t>
      </w:r>
    </w:p>
    <w:p w14:paraId="75F9E7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上述事实，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主要有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以下证据证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 w14:paraId="128490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当事人的营业执照复印件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证明当事人的主体资格和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经营者的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 w14:paraId="01E25B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证据二：现场笔录1份、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证据提取单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询问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（调查）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财物清单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证明当事人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未依法取得《烟草专卖零售许可证》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的情况下，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柳州市柳北区跃进路79号柳钢元宝源3栋2单元1-2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从事烟草制品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零售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活动的事实。</w:t>
      </w:r>
    </w:p>
    <w:p w14:paraId="00CDD5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：柳州市城区烟草专卖局涉案烟草专卖品核价表1份，证明当事人在未依法取得《烟草专卖零售许可证》的情况下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零售</w:t>
      </w:r>
      <w:r>
        <w:rPr>
          <w:rFonts w:hint="eastAsia" w:hAnsi="仿宋_GB2312" w:cs="仿宋_GB2312"/>
          <w:color w:val="auto"/>
          <w:spacing w:val="0"/>
          <w:sz w:val="32"/>
          <w:szCs w:val="32"/>
          <w:u w:val="none"/>
          <w:lang w:eastAsia="zh-CN"/>
        </w:rPr>
        <w:t>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的涉案货值金额。</w:t>
      </w:r>
    </w:p>
    <w:p w14:paraId="135300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以上证据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一、二均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签名确认。</w:t>
      </w:r>
    </w:p>
    <w:p w14:paraId="70D0AA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我局向当事人送达了《行政处罚告知书》（柳北市监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），告知当事人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作出行政处罚的事实、理由、依据、处罚内容及享有的权利。当事人在法定期限内未提出陈述、申辩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78104C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当事人的上述行为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违反了《中华人民共和国烟草专卖法实施条例》第六条第一款的规定，属于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违法经营额为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4192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违法所得无法计算。</w:t>
      </w:r>
    </w:p>
    <w:p w14:paraId="7E7E1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当事人的违法经营额不足一万元，参照《广西壮族自治区市场监督管理行政处罚裁量基准（2023版）》中《烟草专卖法实施条例》行政处罚裁量基准从轻处罚适用情形的规定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。根据《中华人民共和国行政处罚法》第五条、第六条的规定，我局决定给予当事人从轻行政处罚。</w:t>
      </w:r>
    </w:p>
    <w:p w14:paraId="39095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《中华人民共和国烟草专卖法实施条例》第五十七条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我局决定责令当事人立即停止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罚款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850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711713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当事人应当在接到本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凭《广西壮族自治区非税收入电子缴款通知书》到中国建设银行缴纳罚款。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逾期不缴纳罚款的，根据《中华人民共和国行政处罚法》第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规定，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将每日按罚款数额的3%加处罚款，并依法申请人民法院强制执行。                                                      </w:t>
      </w:r>
    </w:p>
    <w:p w14:paraId="237E0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当事人如不服本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处罚决定，可在接到本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处罚决定书之日起60日内向柳州市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柳北区人民政府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申请行政复议，也可以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柳州市柳南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区人民法院提起行政诉讼。申请行政复议或者提起行政诉讼期间，行政处罚不停止执行。  </w:t>
      </w:r>
    </w:p>
    <w:p w14:paraId="4ED989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       </w:t>
      </w:r>
    </w:p>
    <w:p w14:paraId="1E68CC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7BC10F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柳州市柳北区市场监督管理局                                                                                                                   </w:t>
      </w:r>
    </w:p>
    <w:p w14:paraId="160ECF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日 </w:t>
      </w:r>
    </w:p>
    <w:p w14:paraId="661E91BF">
      <w:pPr>
        <w:pStyle w:val="2"/>
        <w:rPr>
          <w:rFonts w:hint="eastAsia"/>
          <w:color w:val="auto"/>
        </w:rPr>
      </w:pPr>
    </w:p>
    <w:p w14:paraId="7AF75D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/>
          <w:color w:val="auto"/>
        </w:rPr>
      </w:pPr>
    </w:p>
    <w:p w14:paraId="34CD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5" w:rightChars="-5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(市场监督管理部门将依法向社会公示本行政处罚决定信息）</w:t>
      </w:r>
    </w:p>
    <w:p w14:paraId="07FB5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-1270</wp:posOffset>
                </wp:positionV>
                <wp:extent cx="5995035" cy="20320"/>
                <wp:effectExtent l="0" t="4445" r="57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03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-0.1pt;height:1.6pt;width:472.05pt;z-index:251660288;mso-width-relative:page;mso-height-relative:page;" filled="f" stroked="t" coordsize="21600,21600" o:gfxdata="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kmJe1QAAAAcBAAAPAAAAAAAAAAEAIAAAACIAAABkcnMv&#10;ZG93bnJldi54bWxQSwECFAAUAAAACACHTuJAE02dtgYCAAAABA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本文书一式三份，一份送达，一份归档，一份办案单位留存。</w:t>
      </w:r>
    </w:p>
    <w:sectPr>
      <w:footerReference r:id="rId3" w:type="default"/>
      <w:pgSz w:w="11906" w:h="16838"/>
      <w:pgMar w:top="1327" w:right="867" w:bottom="132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1B3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65DC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65DC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I1NmM0NTFmZTU5ZDUyNjZiMTM4MjRlMDJmYTcifQ=="/>
  </w:docVars>
  <w:rsids>
    <w:rsidRoot w:val="51AC6573"/>
    <w:rsid w:val="021036E0"/>
    <w:rsid w:val="0CFF2D53"/>
    <w:rsid w:val="187C57BE"/>
    <w:rsid w:val="38FC4989"/>
    <w:rsid w:val="51AC6573"/>
    <w:rsid w:val="6C967F0D"/>
    <w:rsid w:val="7C9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1351</Characters>
  <Lines>0</Lines>
  <Paragraphs>0</Paragraphs>
  <TotalTime>13</TotalTime>
  <ScaleCrop>false</ScaleCrop>
  <LinksUpToDate>false</LinksUpToDate>
  <CharactersWithSpaces>1619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2025-04-15T07:15:00Z</dcterms:created>
  <dc:creator>纠结婧</dc:creator>
  <cp:lastModifiedBy>河谷镇</cp:lastModifiedBy>
  <dcterms:modified xsi:type="dcterms:W3CDTF">2025-04-21T07:40:12Z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06FCB21775D64A709C659085E8246968_11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