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D7" w:rsidRDefault="008E3FD7">
      <w:pPr>
        <w:spacing w:line="560" w:lineRule="exact"/>
        <w:jc w:val="center"/>
        <w:rPr>
          <w:rFonts w:ascii="仿宋_GB2312" w:eastAsia="仿宋_GB2312" w:hAnsi="宋体" w:hint="eastAsia"/>
          <w:b/>
          <w:sz w:val="32"/>
          <w:szCs w:val="32"/>
        </w:rPr>
      </w:pPr>
      <w:r w:rsidRPr="008E3FD7">
        <w:rPr>
          <w:rFonts w:ascii="仿宋_GB2312" w:eastAsia="仿宋_GB2312" w:hAnsi="宋体" w:hint="eastAsia"/>
          <w:b/>
          <w:sz w:val="32"/>
          <w:szCs w:val="32"/>
        </w:rPr>
        <w:t>柳北区白露街道园艺村垃圾中转站及公共厕所建设项目</w:t>
      </w:r>
    </w:p>
    <w:p w:rsidR="00A9621B" w:rsidRPr="008E3FD7" w:rsidRDefault="006A38F0">
      <w:pPr>
        <w:spacing w:line="5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 w:rsidRPr="008E3FD7">
        <w:rPr>
          <w:rFonts w:ascii="仿宋_GB2312" w:eastAsia="仿宋_GB2312" w:hAnsi="宋体" w:hint="eastAsia"/>
          <w:b/>
          <w:sz w:val="32"/>
          <w:szCs w:val="32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197D83" w:rsidRPr="00197D83">
        <w:rPr>
          <w:rFonts w:ascii="仿宋_GB2312" w:eastAsia="仿宋_GB2312" w:hAnsi="仿宋" w:hint="eastAsia"/>
          <w:sz w:val="28"/>
          <w:szCs w:val="28"/>
        </w:rPr>
        <w:t>柳北区白露街道园艺村垃圾中转站及公共厕所建设项目</w:t>
      </w:r>
      <w:r>
        <w:rPr>
          <w:rFonts w:ascii="仿宋_GB2312" w:eastAsia="仿宋_GB2312" w:hAnsi="仿宋" w:hint="eastAsia"/>
          <w:sz w:val="28"/>
          <w:szCs w:val="28"/>
        </w:rPr>
        <w:t>共安排资金</w:t>
      </w:r>
      <w:r w:rsidR="00DE7EED" w:rsidRPr="00DE7EED">
        <w:rPr>
          <w:rFonts w:ascii="仿宋_GB2312" w:eastAsia="仿宋_GB2312" w:hAnsi="仿宋"/>
          <w:sz w:val="28"/>
          <w:szCs w:val="28"/>
        </w:rPr>
        <w:t>66.23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DE7EED" w:rsidRPr="00DE7EED">
        <w:rPr>
          <w:rFonts w:ascii="仿宋_GB2312" w:eastAsia="仿宋_GB2312" w:hAnsi="仿宋" w:hint="eastAsia"/>
          <w:sz w:val="28"/>
          <w:szCs w:val="28"/>
        </w:rPr>
        <w:t>改善群众生活质量，建设垃圾处理设施(修建垃圾中转站及公共厕所)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B3539F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B3539F" w:rsidRPr="00B3539F">
        <w:rPr>
          <w:rFonts w:ascii="仿宋_GB2312" w:eastAsia="仿宋_GB2312" w:hAnsi="仿宋" w:hint="eastAsia"/>
          <w:sz w:val="28"/>
          <w:szCs w:val="28"/>
        </w:rPr>
        <w:t>新建垃圾中转站≥</w:t>
      </w:r>
      <w:r w:rsidR="00B3539F">
        <w:rPr>
          <w:rFonts w:ascii="仿宋_GB2312" w:eastAsia="仿宋_GB2312" w:hAnsi="仿宋" w:hint="eastAsia"/>
          <w:sz w:val="28"/>
          <w:szCs w:val="28"/>
        </w:rPr>
        <w:t>1</w:t>
      </w:r>
      <w:r w:rsidR="00B3539F" w:rsidRPr="00B3539F">
        <w:rPr>
          <w:rFonts w:ascii="仿宋_GB2312" w:eastAsia="仿宋_GB2312" w:hAnsi="仿宋" w:hint="eastAsia"/>
          <w:sz w:val="28"/>
          <w:szCs w:val="28"/>
        </w:rPr>
        <w:t>处</w:t>
      </w:r>
    </w:p>
    <w:p w:rsidR="00B3539F" w:rsidRDefault="00B3539F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B3539F">
        <w:rPr>
          <w:rFonts w:ascii="仿宋_GB2312" w:eastAsia="仿宋_GB2312" w:hAnsi="仿宋" w:hint="eastAsia"/>
          <w:sz w:val="28"/>
          <w:szCs w:val="28"/>
        </w:rPr>
        <w:t>新建公共厕所≥</w:t>
      </w:r>
      <w:r>
        <w:rPr>
          <w:rFonts w:ascii="仿宋_GB2312" w:eastAsia="仿宋_GB2312" w:hAnsi="仿宋" w:hint="eastAsia"/>
          <w:sz w:val="28"/>
          <w:szCs w:val="28"/>
        </w:rPr>
        <w:t>1</w:t>
      </w:r>
      <w:r w:rsidRPr="00B3539F">
        <w:rPr>
          <w:rFonts w:ascii="仿宋_GB2312" w:eastAsia="仿宋_GB2312" w:hAnsi="仿宋" w:hint="eastAsia"/>
          <w:sz w:val="28"/>
          <w:szCs w:val="28"/>
        </w:rPr>
        <w:t>座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8B22D0" w:rsidRPr="00DE7EED">
        <w:rPr>
          <w:rFonts w:ascii="仿宋_GB2312" w:eastAsia="仿宋_GB2312" w:hAnsi="仿宋"/>
          <w:sz w:val="28"/>
          <w:szCs w:val="28"/>
        </w:rPr>
        <w:t>66.23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CC1097">
        <w:rPr>
          <w:rFonts w:asciiTheme="minorHAnsi" w:eastAsia="仿宋_GB2312" w:hAnsiTheme="minorHAnsi" w:hint="eastAsia"/>
          <w:sz w:val="28"/>
          <w:szCs w:val="28"/>
        </w:rPr>
        <w:t>1</w:t>
      </w:r>
      <w:r w:rsidR="00B51943">
        <w:rPr>
          <w:rFonts w:asciiTheme="minorHAnsi" w:eastAsia="仿宋_GB2312" w:hAnsiTheme="minorHAnsi" w:hint="eastAsia"/>
          <w:sz w:val="28"/>
          <w:szCs w:val="28"/>
        </w:rPr>
        <w:t>2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161C9C" w:rsidRPr="00161C9C" w:rsidRDefault="00161C9C" w:rsidP="00161C9C">
      <w:pPr>
        <w:spacing w:line="460" w:lineRule="exact"/>
        <w:ind w:firstLineChars="950" w:firstLine="2660"/>
        <w:rPr>
          <w:rFonts w:asciiTheme="minorHAnsi" w:eastAsia="仿宋_GB2312" w:hAnsiTheme="minorHAnsi"/>
          <w:sz w:val="28"/>
          <w:szCs w:val="28"/>
        </w:rPr>
      </w:pPr>
      <w:r w:rsidRPr="00161C9C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>50</w:t>
      </w:r>
      <w:r w:rsidRPr="00161C9C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13B0A" w:rsidRPr="00DE7EED">
        <w:rPr>
          <w:rFonts w:ascii="仿宋_GB2312" w:eastAsia="仿宋_GB2312" w:hAnsi="仿宋"/>
          <w:sz w:val="28"/>
          <w:szCs w:val="28"/>
        </w:rPr>
        <w:t>66.23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13B0A" w:rsidRPr="00DE7EED">
        <w:rPr>
          <w:rFonts w:ascii="仿宋_GB2312" w:eastAsia="仿宋_GB2312" w:hAnsi="仿宋"/>
          <w:sz w:val="28"/>
          <w:szCs w:val="28"/>
        </w:rPr>
        <w:t>66.23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</w:t>
      </w:r>
      <w:r>
        <w:rPr>
          <w:rFonts w:ascii="仿宋_GB2312" w:eastAsia="仿宋_GB2312" w:hAnsi="仿宋" w:hint="eastAsia"/>
          <w:sz w:val="28"/>
          <w:szCs w:val="28"/>
        </w:rPr>
        <w:lastRenderedPageBreak/>
        <w:t>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BF314F" w:rsidRPr="00BF314F">
        <w:rPr>
          <w:rFonts w:ascii="仿宋_GB2312" w:eastAsia="仿宋_GB2312" w:hAnsi="仿宋" w:hint="eastAsia"/>
          <w:sz w:val="28"/>
          <w:szCs w:val="28"/>
        </w:rPr>
        <w:t>新建垃圾中转站</w:t>
      </w:r>
      <w:r w:rsidR="00BF314F">
        <w:rPr>
          <w:rFonts w:ascii="仿宋_GB2312" w:eastAsia="仿宋_GB2312" w:hAnsi="仿宋" w:hint="eastAsia"/>
          <w:sz w:val="28"/>
          <w:szCs w:val="28"/>
        </w:rPr>
        <w:t>1</w:t>
      </w:r>
      <w:r w:rsidR="00BF314F" w:rsidRPr="00BF314F">
        <w:rPr>
          <w:rFonts w:ascii="仿宋_GB2312" w:eastAsia="仿宋_GB2312" w:hAnsi="仿宋" w:hint="eastAsia"/>
          <w:sz w:val="28"/>
          <w:szCs w:val="28"/>
        </w:rPr>
        <w:t>处</w:t>
      </w:r>
    </w:p>
    <w:p w:rsidR="00BF314F" w:rsidRPr="00BF314F" w:rsidRDefault="00BF314F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BF314F">
        <w:rPr>
          <w:rFonts w:ascii="仿宋_GB2312" w:eastAsia="仿宋_GB2312" w:hAnsi="仿宋" w:hint="eastAsia"/>
          <w:sz w:val="28"/>
          <w:szCs w:val="28"/>
        </w:rPr>
        <w:t>新建公共厕所</w:t>
      </w:r>
      <w:r>
        <w:rPr>
          <w:rFonts w:ascii="仿宋_GB2312" w:eastAsia="仿宋_GB2312" w:hAnsi="仿宋" w:hint="eastAsia"/>
          <w:sz w:val="28"/>
          <w:szCs w:val="28"/>
        </w:rPr>
        <w:t>1</w:t>
      </w:r>
      <w:r w:rsidRPr="00BF314F">
        <w:rPr>
          <w:rFonts w:ascii="仿宋_GB2312" w:eastAsia="仿宋_GB2312" w:hAnsi="仿宋" w:hint="eastAsia"/>
          <w:sz w:val="28"/>
          <w:szCs w:val="28"/>
        </w:rPr>
        <w:t>座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02503D" w:rsidRDefault="0002503D" w:rsidP="0002503D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1169AB" w:rsidRPr="00DE7EED">
        <w:rPr>
          <w:rFonts w:ascii="仿宋_GB2312" w:eastAsia="仿宋_GB2312" w:hAnsi="仿宋"/>
          <w:sz w:val="28"/>
          <w:szCs w:val="28"/>
        </w:rPr>
        <w:t>66.23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88206B"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="00173A0B"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BE5681">
        <w:rPr>
          <w:rFonts w:ascii="仿宋_GB2312" w:eastAsia="仿宋_GB2312" w:hAnsi="黑体" w:hint="eastAsia"/>
          <w:sz w:val="28"/>
          <w:szCs w:val="28"/>
        </w:rPr>
        <w:t xml:space="preserve">                              </w:t>
      </w:r>
      <w:r w:rsidR="00BE5681" w:rsidRPr="00BE5681">
        <w:rPr>
          <w:rFonts w:ascii="仿宋_GB2312" w:eastAsia="仿宋_GB2312" w:hAnsi="黑体" w:hint="eastAsia"/>
          <w:sz w:val="28"/>
          <w:szCs w:val="28"/>
        </w:rPr>
        <w:t>柳北区白露街道办事处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</w:t>
      </w:r>
      <w:r w:rsidR="00BE5681">
        <w:rPr>
          <w:rFonts w:ascii="仿宋_GB2312" w:eastAsia="仿宋_GB2312" w:hAnsi="黑体" w:hint="eastAsia"/>
          <w:sz w:val="28"/>
          <w:szCs w:val="28"/>
        </w:rPr>
        <w:t>18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F38" w:rsidRDefault="00691F38" w:rsidP="00A9621B">
      <w:r>
        <w:separator/>
      </w:r>
    </w:p>
  </w:endnote>
  <w:endnote w:type="continuationSeparator" w:id="1">
    <w:p w:rsidR="00691F38" w:rsidRDefault="00691F38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F38" w:rsidRDefault="00691F38" w:rsidP="00A9621B">
      <w:r>
        <w:separator/>
      </w:r>
    </w:p>
  </w:footnote>
  <w:footnote w:type="continuationSeparator" w:id="1">
    <w:p w:rsidR="00691F38" w:rsidRDefault="00691F38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815C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169AB"/>
    <w:rsid w:val="00122929"/>
    <w:rsid w:val="001443BA"/>
    <w:rsid w:val="00161C9C"/>
    <w:rsid w:val="001716AE"/>
    <w:rsid w:val="00173A0B"/>
    <w:rsid w:val="00186F2C"/>
    <w:rsid w:val="00197D83"/>
    <w:rsid w:val="001B2FA7"/>
    <w:rsid w:val="001C4025"/>
    <w:rsid w:val="001C44F6"/>
    <w:rsid w:val="001D32D1"/>
    <w:rsid w:val="001F0221"/>
    <w:rsid w:val="00203A8C"/>
    <w:rsid w:val="00206018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01F3E"/>
    <w:rsid w:val="00426668"/>
    <w:rsid w:val="00432F71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1F38"/>
    <w:rsid w:val="00692546"/>
    <w:rsid w:val="006A2241"/>
    <w:rsid w:val="006A38F0"/>
    <w:rsid w:val="006B0359"/>
    <w:rsid w:val="006D540E"/>
    <w:rsid w:val="006D598C"/>
    <w:rsid w:val="0071252E"/>
    <w:rsid w:val="0071420F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7FB4"/>
    <w:rsid w:val="008452A2"/>
    <w:rsid w:val="0087030D"/>
    <w:rsid w:val="00872499"/>
    <w:rsid w:val="00873953"/>
    <w:rsid w:val="0088206B"/>
    <w:rsid w:val="00883DE1"/>
    <w:rsid w:val="00890E4F"/>
    <w:rsid w:val="008B1377"/>
    <w:rsid w:val="008B1C04"/>
    <w:rsid w:val="008B22D0"/>
    <w:rsid w:val="008E3FD7"/>
    <w:rsid w:val="008F1000"/>
    <w:rsid w:val="00923E88"/>
    <w:rsid w:val="0092487C"/>
    <w:rsid w:val="00980ECD"/>
    <w:rsid w:val="00981271"/>
    <w:rsid w:val="00996042"/>
    <w:rsid w:val="009A2889"/>
    <w:rsid w:val="00A013FD"/>
    <w:rsid w:val="00A13B0A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3539F"/>
    <w:rsid w:val="00B51943"/>
    <w:rsid w:val="00B60866"/>
    <w:rsid w:val="00B63559"/>
    <w:rsid w:val="00BC20F6"/>
    <w:rsid w:val="00BC28EA"/>
    <w:rsid w:val="00BC4A80"/>
    <w:rsid w:val="00BC7578"/>
    <w:rsid w:val="00BE5681"/>
    <w:rsid w:val="00BF314F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7DB7"/>
    <w:rsid w:val="00D76574"/>
    <w:rsid w:val="00D84F11"/>
    <w:rsid w:val="00D92069"/>
    <w:rsid w:val="00DE7EED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34A7E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151</Words>
  <Characters>861</Characters>
  <Application>Microsoft Office Word</Application>
  <DocSecurity>0</DocSecurity>
  <Lines>7</Lines>
  <Paragraphs>2</Paragraphs>
  <ScaleCrop>false</ScaleCrop>
  <Company>Lenovo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115</cp:revision>
  <dcterms:created xsi:type="dcterms:W3CDTF">2020-04-30T11:51:00Z</dcterms:created>
  <dcterms:modified xsi:type="dcterms:W3CDTF">2024-01-29T07:55:00Z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