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糖料蔗机械化作业质量确认表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pPr w:vertAnchor="text" w:tblpXSpec="left"/>
        <w:tblW w:w="4997" w:type="pct"/>
        <w:tblInd w:w="0" w:type="dxa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702"/>
        <w:gridCol w:w="952"/>
        <w:gridCol w:w="904"/>
        <w:gridCol w:w="1478"/>
        <w:gridCol w:w="1008"/>
        <w:gridCol w:w="1095"/>
        <w:gridCol w:w="1017"/>
        <w:gridCol w:w="510"/>
      </w:tblGrid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机手姓名</w:t>
            </w:r>
          </w:p>
        </w:tc>
        <w:tc>
          <w:tcPr>
            <w:tcW w:w="41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作业机具型号</w:t>
            </w:r>
          </w:p>
        </w:tc>
        <w:tc>
          <w:tcPr>
            <w:tcW w:w="5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作业类型</w:t>
            </w:r>
          </w:p>
        </w:tc>
        <w:tc>
          <w:tcPr>
            <w:tcW w:w="53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作业时间</w:t>
            </w:r>
          </w:p>
        </w:tc>
        <w:tc>
          <w:tcPr>
            <w:tcW w:w="86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作业地点</w:t>
            </w:r>
          </w:p>
        </w:tc>
        <w:tc>
          <w:tcPr>
            <w:tcW w:w="59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作业数量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（亩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/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吨）</w:t>
            </w:r>
          </w:p>
        </w:tc>
        <w:tc>
          <w:tcPr>
            <w:tcW w:w="64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作业质量是否符合要求</w:t>
            </w:r>
          </w:p>
        </w:tc>
        <w:tc>
          <w:tcPr>
            <w:tcW w:w="5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乙方（服务对象）签字</w:t>
            </w:r>
          </w:p>
        </w:tc>
        <w:tc>
          <w:tcPr>
            <w:tcW w:w="27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1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3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1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3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1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3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1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3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1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3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1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3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1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3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41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3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86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3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4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3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WM3NGRkMjc0MGFmZmZkNmFkZjJkZGM4Mzg1YWQifQ=="/>
  </w:docVars>
  <w:rsids>
    <w:rsidRoot w:val="4E23669A"/>
    <w:rsid w:val="4E23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2022-05-07T03:28:00Z</dcterms:created>
  <dc:creator>似无忌惮</dc:creator>
  <cp:lastModifiedBy>似无忌惮</cp:lastModifiedBy>
  <dcterms:modified xsi:type="dcterms:W3CDTF">2022-05-07T03:28:54Z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B6305A08CB2F4D3BB54EEA90E5E9FFAE</vt:lpwstr>
  </property>
</Properties>
</file>