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前三季度柳北区经济运行分析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今年以来，面对错综复杂的国际国内形势，柳北区认真贯彻市政府经济稳增长、稳消费、稳投资等工作部署，主动作为，积极应对。前三季度，全区经济继续保持在合理区间，但下行压力依然存在，需引起关注。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前三季度柳北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区主要经济指标完成情况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据统计，前三季度柳北区实现地区生产总值449.83亿元，按可比价格计算，同比增长6.4%。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其中：第一产增加值5.5亿元，同比增长0.3%；第二产业增加值247.12亿元，同比增长4.0%；第三产业增加值197.21亿元，同比增长9.5%。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90440" cy="2585720"/>
            <wp:effectExtent l="0" t="0" r="10160" b="5080"/>
            <wp:docPr id="1" name="图片 1" descr="地区生产总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区生产总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22190" cy="2295525"/>
            <wp:effectExtent l="0" t="0" r="16510" b="9525"/>
            <wp:docPr id="5" name="图片 5" descr="一产增加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一产增加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695190" cy="2075815"/>
            <wp:effectExtent l="0" t="0" r="10160" b="635"/>
            <wp:docPr id="2" name="图片 2" descr="二产增加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产增加值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672965" cy="2160905"/>
            <wp:effectExtent l="0" t="0" r="13335" b="10795"/>
            <wp:docPr id="3" name="图片 3" descr="三产增加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产增加值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三季度柳北区农林牧渔总产值9.9亿元，同比增长0.5%；柳北全辖区完成工业总产值888.19亿元，同比增长0.3%，其中柳北全辖区完成规模以上工业总产值876.76亿元，同比增长0.3%；限额以上批零住餐业完成销售额293.83亿元，同比增长0.5%；社会消费品零售总额130.18亿元，同比增长6.4%；柳北统计口径固定资产投资同比增长2.5%；规上其</w:t>
      </w:r>
      <w:r>
        <w:rPr>
          <w:rFonts w:hint="eastAsia" w:ascii="仿宋_GB2312" w:hAnsi="仿宋_GB2312" w:eastAsia="仿宋_GB2312" w:cs="仿宋_GB2312"/>
          <w:sz w:val="32"/>
          <w:szCs w:val="32"/>
        </w:rPr>
        <w:t>他营利性服务业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51.92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城镇居民人均可支配收入31021元，同比增长7.5%，农村居民人均可支配收入11187元，同比增长9.4%。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经济运行主要特点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（一）农业生产增速放缓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前三季度，全区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农林牧渔业总产值9.9亿元，同比增长0.5%，增速比上半年回落3.3个百分点。分行业看，农业产值5.78亿元，同比下降1.6％；林业产值0.38亿元，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同比下降7.1%；牧业产值2.99亿元，同比增长4.3%；渔业产值0.63亿元，同比增长7.2%；农林牧渔服务业产值0.11亿元，同比增长1.7％。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Style w:val="8"/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lang w:eastAsia="zh-CN"/>
        </w:rPr>
        <w:t>工业增加值小幅上涨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前三季度，柳北全辖区完成工业总产值888.19亿元，同比增长0.3%，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比上半年提高1.8个百分点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完成工业增加值228.93亿元，同比增长3.4%。柳北区规模以上工业实现工业总产值876.76亿元，同比增长0.3%；其中柳北统计口径完成规上工业总产值197.65亿元，同比下降2.7%。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75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lang w:eastAsia="zh-CN"/>
        </w:rPr>
        <w:t>（三）市场销售增速放缓，批零住餐业企业压力较大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前三季度，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社会消费品零售总额130.18亿元，同比增长6.4%，增速比上半年回落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1.1个百分点。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限额以上批零住餐企业完成销售额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293.83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限上批发业完成销售额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273.69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限上零售业完成销售额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限上住宿业完成营业额1.84亿元，同比下降5.2%；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限上餐饮业完成营业额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（四）规上服务业总体持续增长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柳北区调查的规模以上服务业企业营业收入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%。其中，他营利性服务业企业实现收入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51.92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300" w:right="0" w:rightChars="0"/>
        <w:textAlignment w:val="auto"/>
        <w:rPr>
          <w:rStyle w:val="8"/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lang w:eastAsia="zh-CN"/>
        </w:rPr>
        <w:t>（五）投资后劲不足，</w:t>
      </w:r>
      <w:r>
        <w:rPr>
          <w:rStyle w:val="8"/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highlight w:val="none"/>
          <w:lang w:eastAsia="zh-CN"/>
        </w:rPr>
        <w:t>房地产投资回落明显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前三季度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柳北统计口径固定资产投资同比增长2.5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。其中：项目投资同比增长7.2%；房地产投资完成21.68亿元，同比下降7.2%。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200" w:right="0" w:rightChars="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（六）城乡居民收入持续增加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前三季度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自治区反馈柳北区城镇居民人均可支配收入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31021元，同比增长7.5%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；农村居民人均可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11187元，同比增长9.4%。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0030101010101"/>
    <w:charset w:val="7A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modern"/>
    <w:pitch w:val="default"/>
    <w:sig w:usb0="00000003" w:usb1="080E0000" w:usb2="00000000" w:usb3="00000000" w:csb0="00040001" w:csb1="00000000"/>
  </w:font>
  <w:font w:name="仿宋">
    <w:altName w:val="Arial Unicode MS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hrut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方正仿宋_GBK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Numbers &amp; Pinyin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ath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atha">
    <w:altName w:val="Microsoft Sans Serif"/>
    <w:panose1 w:val="020B0604020202020204"/>
    <w:charset w:val="02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王羲之书法字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UI Symbol">
    <w:altName w:val="Segoe UI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AMGDT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Yu Gothic UI Light">
    <w:altName w:val="Eras Light ITC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Vrind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altName w:val="Microsoft Sans Serif"/>
    <w:panose1 w:val="020B0304020202020204"/>
    <w:charset w:val="22"/>
    <w:family w:val="roman"/>
    <w:pitch w:val="default"/>
    <w:sig w:usb0="00000000" w:usb1="00000000" w:usb2="00000000" w:usb3="00000000" w:csb0="00010001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yriad Web Pro Condensed">
    <w:altName w:val="Franklin Gothic Medium Cond"/>
    <w:panose1 w:val="020B0506030403020204"/>
    <w:charset w:val="00"/>
    <w:family w:val="auto"/>
    <w:pitch w:val="default"/>
    <w:sig w:usb0="00000000" w:usb1="00000000" w:usb2="00000000" w:usb3="00000000" w:csb0="20000093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NumberOnly">
    <w:altName w:val="Segoe U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永中宋体">
    <w:altName w:val="宋体"/>
    <w:panose1 w:val="02010600030001010101"/>
    <w:charset w:val="7A"/>
    <w:family w:val="auto"/>
    <w:pitch w:val="default"/>
    <w:sig w:usb0="00000000" w:usb1="00000000" w:usb2="0000000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0C62"/>
    <w:multiLevelType w:val="singleLevel"/>
    <w:tmpl w:val="5DB10C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32E8F"/>
    <w:rsid w:val="0B36139A"/>
    <w:rsid w:val="12D32E8F"/>
    <w:rsid w:val="17263ECC"/>
    <w:rsid w:val="59733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Times New Roman" w:hAnsi="Times New Roman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2019-10-31T03:14:00Z</dcterms:created>
  <dc:creator>lenovo</dc:creator>
  <cp:lastModifiedBy>Administrator</cp:lastModifiedBy>
  <cp:lastPrinted>2020-01-02T09:30:18Z</cp:lastPrinted>
  <dcterms:modified xsi:type="dcterms:W3CDTF">2020-01-02T09:44:13Z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